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65099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F35A1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652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641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334B42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02B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C83845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652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234173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644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  <w:r w:rsidR="007F5622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5622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1 09</w:t>
            </w:r>
            <w:r w:rsidR="00DE518C"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17B4" w:rsidRPr="002D65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049</w:t>
            </w:r>
            <w:r w:rsidR="009517B4"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AB1BC7" w:rsidRDefault="00FC6BD0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2D652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02B0F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652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D652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026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652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1 083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культуры (детские школы искусств по видам искусств и училищ)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«Культурная среда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041AC6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D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041AC6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F17C0F" w:rsidRDefault="00041AC6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041AC6" w:rsidRPr="00F17C0F" w:rsidRDefault="00041AC6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041AC6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F17C0F" w:rsidRDefault="00041AC6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041AC6" w:rsidRPr="00F17C0F" w:rsidRDefault="00041AC6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041AC6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F17C0F" w:rsidRDefault="00041AC6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 xml:space="preserve">Управление развития </w:t>
            </w: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F17C0F" w:rsidRDefault="00041AC6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7.01.01</w:t>
            </w:r>
          </w:p>
          <w:p w:rsidR="00041AC6" w:rsidRPr="00F17C0F" w:rsidRDefault="00041AC6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</w:t>
      </w:r>
      <w:proofErr w:type="gramStart"/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расчета значений 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планируемых показателей/результатов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реализации</w:t>
      </w:r>
      <w:r w:rsidR="00AB5604" w:rsidRPr="00AB560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BD75C9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355909" w:rsidRPr="00CE0EC3" w:rsidTr="00AB5604">
        <w:trPr>
          <w:trHeight w:val="418"/>
          <w:jc w:val="center"/>
        </w:trPr>
        <w:tc>
          <w:tcPr>
            <w:tcW w:w="15294" w:type="dxa"/>
            <w:gridSpan w:val="6"/>
            <w:shd w:val="clear" w:color="auto" w:fill="auto"/>
          </w:tcPr>
          <w:p w:rsidR="00355909" w:rsidRPr="00CE0EC3" w:rsidRDefault="00AB5604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B56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Методика расчета значений планируемых показателей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В соответствии с методикой, утвержденной Постановлением Правительства РФ от 03.04.2021 № 542 «Об оценке эффективности деятельности высших </w:t>
            </w: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L(t) - число посещений культурных мероприятий, проводимых детскими </w:t>
            </w: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ИАС «Мониторинг» - информационная аналитическая система Министерства науки и высшего образования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определенных по итогам рейтингования и 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Доля детей, осваивающих дополнительные предпрофессиональные программы в области искусств за 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lastRenderedPageBreak/>
              <w:t>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ергиево-Посадском 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C83845" w:rsidRPr="00260D19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C83845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410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C83845" w:rsidRPr="005030EA" w:rsidRDefault="00C83845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C83845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C83845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3410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C83845" w:rsidRPr="005030EA" w:rsidRDefault="00C83845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C83845" w:rsidRPr="005030EA" w:rsidRDefault="00C83845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C83845" w:rsidRPr="005030EA" w:rsidRDefault="00C83845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83845" w:rsidRPr="005030EA" w:rsidRDefault="00687906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C83845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C83845" w:rsidRPr="005030EA" w:rsidRDefault="00687906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C83845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C83845" w:rsidRPr="005030EA" w:rsidRDefault="00687906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C83845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C83845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C83845" w:rsidRDefault="00C83845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C83845" w:rsidRPr="005030EA" w:rsidRDefault="00C83845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C83845" w:rsidRPr="005030EA" w:rsidRDefault="00C83845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C83845" w:rsidRPr="005030EA" w:rsidRDefault="00C83845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15294" w:type="dxa"/>
            <w:gridSpan w:val="6"/>
            <w:shd w:val="clear" w:color="auto" w:fill="auto"/>
          </w:tcPr>
          <w:p w:rsidR="00C83845" w:rsidRDefault="00C83845" w:rsidP="00AB560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56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Методика результатов реализации</w:t>
            </w:r>
          </w:p>
          <w:p w:rsidR="00C83845" w:rsidRPr="00156B93" w:rsidRDefault="00C83845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2B7AF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D737F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Отчет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об исполнении учреждением плана его финансово-хозяйственной деятельности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(ф.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0503737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КФО 4)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Финансовое обеспечение муниципальных учреждений, </w:t>
            </w: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осуществляющих деятельность в сфере культуры (библиотеки)</w:t>
            </w:r>
          </w:p>
        </w:tc>
        <w:tc>
          <w:tcPr>
            <w:tcW w:w="1276" w:type="dxa"/>
          </w:tcPr>
          <w:p w:rsidR="00C83845" w:rsidRPr="00156B93" w:rsidRDefault="00C83845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9E61B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Отчет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 исполнении учреждением плана его финансово-хозяйственной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деятельности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(ф.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0503737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КФО 4)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F77F0A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07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C83845" w:rsidRPr="00E85B31" w:rsidRDefault="00C83845" w:rsidP="00096A74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276" w:type="dxa"/>
          </w:tcPr>
          <w:p w:rsidR="00C83845" w:rsidRPr="00E85B31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E85B31" w:rsidRDefault="00C83845" w:rsidP="006659BD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  <w:tc>
          <w:tcPr>
            <w:tcW w:w="3969" w:type="dxa"/>
            <w:shd w:val="clear" w:color="auto" w:fill="auto"/>
          </w:tcPr>
          <w:p w:rsidR="00C83845" w:rsidRPr="00096A74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096A74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C83845" w:rsidRPr="00E85B31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276" w:type="dxa"/>
          </w:tcPr>
          <w:p w:rsidR="00C83845" w:rsidRPr="006659BD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6659BD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посещений 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  <w:tc>
          <w:tcPr>
            <w:tcW w:w="3969" w:type="dxa"/>
            <w:shd w:val="clear" w:color="auto" w:fill="auto"/>
          </w:tcPr>
          <w:p w:rsidR="00C83845" w:rsidRPr="006659BD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6659BD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9E61B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 проведении плана культурно-массовых мероприятий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Проведение культурно-массовых </w:t>
            </w: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 проведении плана культурно-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C83845" w:rsidRPr="00BE131E" w:rsidRDefault="00C83845" w:rsidP="00BE131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9E61B4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C83845" w:rsidRPr="00BE131E" w:rsidRDefault="00C83845" w:rsidP="00BE131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C83845" w:rsidRPr="00525DC5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525DC5" w:rsidRDefault="00C83845" w:rsidP="009E61B4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C83845" w:rsidRPr="00525DC5" w:rsidRDefault="00C83845" w:rsidP="009E61B4">
            <w:pPr>
              <w:rPr>
                <w:rFonts w:eastAsia="Times New Roman" w:cs="Times New Roman"/>
                <w:sz w:val="22"/>
              </w:rPr>
            </w:pPr>
            <w:r w:rsidRPr="00525DC5">
              <w:rPr>
                <w:rFonts w:eastAsia="Times New Roman" w:cs="Times New Roman"/>
                <w:sz w:val="22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481591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826A97" w:rsidRDefault="00C83845" w:rsidP="00826A97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  <w:p w:rsidR="00C83845" w:rsidRPr="00156B93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410" w:type="dxa"/>
            <w:shd w:val="clear" w:color="auto" w:fill="auto"/>
          </w:tcPr>
          <w:p w:rsidR="00C83845" w:rsidRPr="00156B93" w:rsidRDefault="00C83845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Pr="00481591" w:rsidRDefault="00C83845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C83845" w:rsidRPr="00481591" w:rsidRDefault="00C83845" w:rsidP="00C24F08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C83845" w:rsidRPr="00156B93" w:rsidRDefault="00C83845" w:rsidP="00690005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90005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C83845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C83845" w:rsidRDefault="00C83845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C83845" w:rsidRPr="00481591" w:rsidRDefault="00C83845" w:rsidP="00C24F08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Достижение соотношения средней заработной платы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C83845" w:rsidRPr="00156B93" w:rsidRDefault="00C83845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C83845" w:rsidRPr="00260D19" w:rsidRDefault="00C83845" w:rsidP="0015703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C83845" w:rsidRPr="00953DE8" w:rsidRDefault="00C83845" w:rsidP="0015703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C83845" w:rsidRPr="00156B93" w:rsidRDefault="00C83845" w:rsidP="005E6941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Отчет об исполнении учреждением плана его финансово-хозяйственной </w:t>
            </w: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деятельности (ф. 0503737, КФО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C83845" w:rsidRPr="00156B93" w:rsidRDefault="00C83845" w:rsidP="0015703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годовая</w:t>
            </w:r>
          </w:p>
        </w:tc>
      </w:tr>
      <w:tr w:rsidR="003866C2" w:rsidRPr="00CE0EC3" w:rsidTr="003866C2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3866C2" w:rsidRDefault="003866C2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410" w:type="dxa"/>
            <w:shd w:val="clear" w:color="auto" w:fill="auto"/>
          </w:tcPr>
          <w:p w:rsidR="003866C2" w:rsidRPr="00260D19" w:rsidRDefault="003866C2" w:rsidP="005C18F4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3866C2" w:rsidRDefault="003866C2" w:rsidP="005C18F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3866C2" w:rsidRPr="003866C2" w:rsidRDefault="003866C2" w:rsidP="00687906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3866C2" w:rsidRPr="00260D19" w:rsidRDefault="003866C2" w:rsidP="00687906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3866C2" w:rsidRPr="00CE0EC3" w:rsidRDefault="003866C2" w:rsidP="006879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3866C2" w:rsidRPr="00CE0EC3" w:rsidRDefault="003866C2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3866C2" w:rsidRPr="00CE0EC3" w:rsidTr="00B65B4D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3866C2" w:rsidRPr="00CE0EC3" w:rsidRDefault="003866C2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3866C2" w:rsidRPr="00156B93" w:rsidRDefault="003866C2" w:rsidP="00B65B4D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276" w:type="dxa"/>
          </w:tcPr>
          <w:p w:rsidR="003866C2" w:rsidRPr="00156B93" w:rsidRDefault="003866C2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394" w:type="dxa"/>
            <w:shd w:val="clear" w:color="auto" w:fill="auto"/>
          </w:tcPr>
          <w:p w:rsidR="003866C2" w:rsidRPr="005030EA" w:rsidRDefault="003866C2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3866C2" w:rsidRPr="005030EA" w:rsidRDefault="003866C2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3866C2" w:rsidRPr="005030EA" w:rsidRDefault="003866C2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3866C2" w:rsidRPr="005030EA" w:rsidRDefault="003866C2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3866C2" w:rsidRPr="005030EA" w:rsidRDefault="003866C2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3866C2" w:rsidRPr="00156B93" w:rsidRDefault="003866C2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866C2" w:rsidRPr="00CE0EC3" w:rsidTr="00B65B4D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3866C2" w:rsidRPr="00CE0EC3" w:rsidRDefault="003866C2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410" w:type="dxa"/>
            <w:shd w:val="clear" w:color="auto" w:fill="auto"/>
          </w:tcPr>
          <w:p w:rsidR="003866C2" w:rsidRPr="00156B93" w:rsidRDefault="003866C2" w:rsidP="00B65B4D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276" w:type="dxa"/>
          </w:tcPr>
          <w:p w:rsidR="003866C2" w:rsidRPr="00156B93" w:rsidRDefault="003866C2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394" w:type="dxa"/>
            <w:shd w:val="clear" w:color="auto" w:fill="auto"/>
          </w:tcPr>
          <w:p w:rsidR="003866C2" w:rsidRPr="005030EA" w:rsidRDefault="003866C2" w:rsidP="009E61B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3866C2" w:rsidRPr="005030EA" w:rsidRDefault="003866C2" w:rsidP="009E61B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3866C2" w:rsidRPr="005030EA" w:rsidRDefault="00687906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3866C2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3866C2" w:rsidRPr="005030EA" w:rsidRDefault="00687906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3866C2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3866C2" w:rsidRPr="005030EA" w:rsidRDefault="00687906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3866C2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3866C2" w:rsidRPr="005030EA" w:rsidRDefault="003866C2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3866C2" w:rsidRPr="00156B93" w:rsidRDefault="003866C2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866C2" w:rsidRPr="00CE0EC3" w:rsidTr="00B65B4D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3866C2" w:rsidRPr="00CE0EC3" w:rsidRDefault="003866C2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410" w:type="dxa"/>
            <w:shd w:val="clear" w:color="auto" w:fill="auto"/>
          </w:tcPr>
          <w:p w:rsidR="003866C2" w:rsidRPr="00156B93" w:rsidRDefault="003866C2" w:rsidP="00B65B4D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</w:t>
            </w:r>
            <w:r w:rsidRPr="00156B93">
              <w:rPr>
                <w:rFonts w:cs="Times New Roman"/>
                <w:sz w:val="22"/>
              </w:rPr>
              <w:lastRenderedPageBreak/>
              <w:t xml:space="preserve">размещения </w:t>
            </w:r>
          </w:p>
        </w:tc>
        <w:tc>
          <w:tcPr>
            <w:tcW w:w="1276" w:type="dxa"/>
          </w:tcPr>
          <w:p w:rsidR="003866C2" w:rsidRPr="00156B93" w:rsidRDefault="003866C2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тыс. человек</w:t>
            </w:r>
          </w:p>
        </w:tc>
        <w:tc>
          <w:tcPr>
            <w:tcW w:w="4394" w:type="dxa"/>
            <w:shd w:val="clear" w:color="auto" w:fill="auto"/>
          </w:tcPr>
          <w:p w:rsidR="003866C2" w:rsidRPr="005030EA" w:rsidRDefault="003866C2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3866C2" w:rsidRPr="005030EA" w:rsidRDefault="003866C2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КСР;</w:t>
            </w:r>
          </w:p>
          <w:p w:rsidR="003866C2" w:rsidRPr="005030EA" w:rsidRDefault="003866C2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3866C2" w:rsidRPr="005030EA" w:rsidRDefault="003866C2" w:rsidP="009E61B4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3866C2" w:rsidRPr="005030EA" w:rsidRDefault="003866C2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Форма федерального статистического наблюдения 1-КСР «Сведения о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3866C2" w:rsidRPr="00156B93" w:rsidRDefault="003866C2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годовая</w:t>
            </w:r>
          </w:p>
        </w:tc>
      </w:tr>
      <w:tr w:rsidR="003866C2" w:rsidRPr="00CE0EC3" w:rsidTr="00A205CB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3866C2" w:rsidRPr="00CE0EC3" w:rsidRDefault="003866C2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3410" w:type="dxa"/>
            <w:shd w:val="clear" w:color="auto" w:fill="auto"/>
          </w:tcPr>
          <w:p w:rsidR="003866C2" w:rsidRPr="00156B93" w:rsidRDefault="003866C2" w:rsidP="00A205CB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276" w:type="dxa"/>
          </w:tcPr>
          <w:p w:rsidR="003866C2" w:rsidRPr="00156B93" w:rsidRDefault="003866C2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3866C2" w:rsidRPr="00156B93" w:rsidRDefault="003866C2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3866C2" w:rsidRPr="00A205CB" w:rsidRDefault="003866C2" w:rsidP="00127D71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A205C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Отчет об исполнении бюджета главного распорядителя,</w:t>
            </w:r>
          </w:p>
          <w:p w:rsidR="003866C2" w:rsidRPr="00A205CB" w:rsidRDefault="003866C2" w:rsidP="00127D71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A205C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  <w:p w:rsidR="003866C2" w:rsidRPr="00156B93" w:rsidRDefault="003866C2" w:rsidP="00127D71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205C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(ф. 0503127)</w:t>
            </w:r>
          </w:p>
        </w:tc>
        <w:tc>
          <w:tcPr>
            <w:tcW w:w="1673" w:type="dxa"/>
            <w:shd w:val="clear" w:color="auto" w:fill="auto"/>
          </w:tcPr>
          <w:p w:rsidR="003866C2" w:rsidRPr="00156B93" w:rsidRDefault="003866C2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850"/>
        <w:gridCol w:w="567"/>
        <w:gridCol w:w="567"/>
        <w:gridCol w:w="567"/>
        <w:gridCol w:w="669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272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 xml:space="preserve">Сохранение достигнутого уровня заработной платы работников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</w:t>
            </w: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273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82" w:rsidRPr="001D069A" w:rsidRDefault="00871D82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82" w:rsidRPr="001D069A" w:rsidRDefault="00871D82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82" w:rsidRPr="001D069A" w:rsidRDefault="00871D82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829B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30 272,65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426"/>
        <w:gridCol w:w="425"/>
        <w:gridCol w:w="567"/>
        <w:gridCol w:w="826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531 629,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114 000,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AB1BC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BE0CFE" w:rsidP="003B794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523 233,20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BE0CFE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113 154,28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515 112,53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515 112,53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8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пополнения 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F845F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</w:p>
        </w:tc>
      </w:tr>
      <w:tr w:rsidR="00BC12D5" w:rsidRPr="00AD3C77" w:rsidTr="009E55B7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МБУК «Центральная 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</w:t>
            </w: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3866C2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531 629,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BE0CFE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114 000,39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C96F38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C96F38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523 233,2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BE0CFE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C96F38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08"/>
        <w:gridCol w:w="993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4310E0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4310E0">
        <w:trPr>
          <w:trHeight w:val="319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552 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109" w:rsidRPr="008A2ADB" w:rsidRDefault="00E02CC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114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277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117 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033,35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600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5E40" w:rsidRPr="00AD3C77" w:rsidTr="00FA1045">
        <w:trPr>
          <w:trHeight w:val="388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A969E1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4 377,35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062182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F5E40" w:rsidRPr="00AD3C77" w:rsidTr="00FA1045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CC6BCF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542 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8,0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8A2ADB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110 5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115 5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107 1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538 68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230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«Муниципальный оркестр»</w:t>
            </w:r>
          </w:p>
        </w:tc>
      </w:tr>
      <w:tr w:rsidR="00937D1B" w:rsidRPr="00AD3C77" w:rsidTr="00FA1045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538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109 230,82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1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56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419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 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AF76CD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965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6BC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943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4310E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AF76CD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3 4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779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557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585 013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779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557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585 013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учреждений - 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2 688 830,04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565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культурно-досуговые учреждения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95675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688</w:t>
            </w: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830</w:t>
            </w: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565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3866C2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937D1B" w:rsidRPr="00AD3C77" w:rsidTr="004310E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41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Оказана государственная поддержка лучшим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3866C2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D91664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866C2">
        <w:trPr>
          <w:trHeight w:val="77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4B3665" w:rsidRDefault="00937D1B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1D069A" w:rsidRDefault="00937D1B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8A2AD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2ADB" w:rsidRPr="00AD3C77" w:rsidTr="008A2AD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DB" w:rsidRPr="00AD3C77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B" w:rsidRPr="00D91664" w:rsidRDefault="008A2AD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B" w:rsidRPr="00D91664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ADB" w:rsidRPr="00D91664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2ADB" w:rsidRDefault="008A2ADB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8A2ADB" w:rsidRPr="002102BE" w:rsidRDefault="008A2ADB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DB" w:rsidRPr="00AD3C77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2ADB" w:rsidRPr="00AD3C77" w:rsidTr="008A2AD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DB" w:rsidRPr="00AD3C77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B" w:rsidRPr="00D91664" w:rsidRDefault="008A2AD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DB" w:rsidRPr="00D91664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DB" w:rsidRPr="00D91664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B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DB" w:rsidRPr="00AD3C77" w:rsidRDefault="008A2AD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8A2AD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1D069A" w:rsidRDefault="00937D1B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50708F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3 3</w:t>
            </w:r>
            <w:r w:rsidR="00FA1045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816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50708F" w:rsidRDefault="00937D1B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50708F" w:rsidRDefault="00C826AF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699 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50708F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697 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046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50708F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FA1045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874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EF6C00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655DE6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879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655DE6" w:rsidRDefault="00937D1B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062182" w:rsidRDefault="00937D1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02CC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E02CC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E02CCB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50708F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50708F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74A41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671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74A41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C6A25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3 35</w:t>
            </w:r>
            <w:r w:rsidR="00FA1045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A1045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3C6A25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695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556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50708F" w:rsidRDefault="00937D1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695 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591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94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50708F" w:rsidRDefault="00EF6C00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FA1045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="00937D1B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1045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43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0708F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66</w:t>
            </w:r>
            <w:r w:rsidR="00937D1B"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23022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6</w:t>
            </w:r>
            <w:r w:rsidR="00EF6C0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EF6C00"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EF6C00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939"/>
        <w:gridCol w:w="1324"/>
        <w:gridCol w:w="1937"/>
        <w:gridCol w:w="1062"/>
        <w:gridCol w:w="1641"/>
        <w:gridCol w:w="794"/>
        <w:gridCol w:w="686"/>
        <w:gridCol w:w="686"/>
        <w:gridCol w:w="686"/>
        <w:gridCol w:w="686"/>
        <w:gridCol w:w="616"/>
        <w:gridCol w:w="616"/>
        <w:gridCol w:w="616"/>
        <w:gridCol w:w="2015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29256E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сферы, 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области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29256E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2F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Расходы на обеспечение деятельности (оказание услуг)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 xml:space="preserve">муниципальные учреждения </w:t>
            </w:r>
            <w:r w:rsidRPr="001C6FD0">
              <w:rPr>
                <w:rFonts w:ascii="Times New Roman" w:eastAsiaTheme="minorEastAsia" w:hAnsi="Times New Roman" w:cs="Times New Roman"/>
                <w:sz w:val="20"/>
              </w:rPr>
              <w:lastRenderedPageBreak/>
              <w:t>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1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0E59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</w:t>
            </w:r>
            <w:r w:rsidRPr="0086067F">
              <w:rPr>
                <w:rFonts w:ascii="Times New Roman" w:eastAsiaTheme="minorEastAsia" w:hAnsi="Times New Roman" w:cs="Times New Roman"/>
                <w:sz w:val="20"/>
              </w:rPr>
              <w:lastRenderedPageBreak/>
              <w:t>дополнительному образованию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A13A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(руководитель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</w:t>
            </w:r>
            <w:bookmarkStart w:id="1" w:name="_GoBack"/>
            <w:bookmarkEnd w:id="1"/>
            <w:r w:rsidRPr="00AD3C77">
              <w:rPr>
                <w:rFonts w:ascii="Times New Roman" w:eastAsiaTheme="minorEastAsia" w:hAnsi="Times New Roman" w:cs="Times New Roman"/>
                <w:sz w:val="20"/>
              </w:rPr>
              <w:t>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8651EC" w:rsidRDefault="002331D9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8651EC" w:rsidRDefault="002331D9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8651EC" w:rsidRDefault="002331D9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8651EC" w:rsidRDefault="002331D9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C351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489 598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277 400,07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DC31D0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23 416,97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11 396,97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1 466 182,00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266 003,10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02854" w:rsidRDefault="00F02854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13"/>
        <w:gridCol w:w="2504"/>
        <w:gridCol w:w="1376"/>
        <w:gridCol w:w="1884"/>
        <w:gridCol w:w="1147"/>
        <w:gridCol w:w="838"/>
        <w:gridCol w:w="794"/>
        <w:gridCol w:w="686"/>
        <w:gridCol w:w="686"/>
        <w:gridCol w:w="686"/>
        <w:gridCol w:w="686"/>
        <w:gridCol w:w="671"/>
        <w:gridCol w:w="827"/>
        <w:gridCol w:w="671"/>
        <w:gridCol w:w="1806"/>
      </w:tblGrid>
      <w:tr w:rsidR="00F446B0" w:rsidRPr="00AD3C77" w:rsidTr="004310E0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4310E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5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4310E0">
        <w:trPr>
          <w:trHeight w:val="3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0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DC31D0">
        <w:trPr>
          <w:trHeight w:val="5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DC31D0">
        <w:trPr>
          <w:trHeight w:val="4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DC31D0">
        <w:trPr>
          <w:trHeight w:val="6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28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Pr="004C03F7">
              <w:rPr>
                <w:rFonts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lastRenderedPageBreak/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3866C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5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4310E0">
        <w:trPr>
          <w:trHeight w:val="3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DC31D0">
        <w:trPr>
          <w:trHeight w:val="27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2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Мероприятия по обеспечению сохранения, возрождения и развития народных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художественных промыслов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4310E0">
        <w:trPr>
          <w:trHeight w:val="6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B84F4E" w:rsidRDefault="00F446B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B84F4E" w:rsidRDefault="00F446B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B84F4E" w:rsidRDefault="00F446B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3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6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6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2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4310E0">
        <w:trPr>
          <w:trHeight w:val="3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DC31D0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DC31D0">
        <w:trPr>
          <w:trHeight w:val="99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DC31D0">
        <w:trPr>
          <w:trHeight w:val="5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B354D" w:rsidRPr="00AD3C77" w:rsidRDefault="00FB354D" w:rsidP="00FB354D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3E1925">
        <w:rPr>
          <w:rFonts w:cs="Times New Roman"/>
          <w:b/>
          <w:sz w:val="24"/>
          <w:szCs w:val="24"/>
        </w:rPr>
        <w:lastRenderedPageBreak/>
        <w:t xml:space="preserve">6.7. </w:t>
      </w:r>
      <w:r w:rsidR="00A35F22" w:rsidRPr="003E1925">
        <w:rPr>
          <w:rFonts w:cs="Times New Roman"/>
          <w:b/>
          <w:sz w:val="24"/>
          <w:szCs w:val="24"/>
        </w:rPr>
        <w:t>Перечень</w:t>
      </w:r>
      <w:r w:rsidRPr="003E1925">
        <w:rPr>
          <w:rFonts w:cs="Times New Roman"/>
          <w:b/>
          <w:sz w:val="24"/>
          <w:szCs w:val="24"/>
        </w:rPr>
        <w:t xml:space="preserve"> </w:t>
      </w:r>
      <w:r w:rsidR="00A35F22" w:rsidRPr="003E1925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3E1925">
        <w:rPr>
          <w:rFonts w:cs="Times New Roman"/>
          <w:b/>
          <w:sz w:val="24"/>
          <w:szCs w:val="24"/>
          <w:lang w:val="en-US"/>
        </w:rPr>
        <w:t>V</w:t>
      </w:r>
      <w:r w:rsidR="000D7302" w:rsidRPr="003E1925">
        <w:rPr>
          <w:rFonts w:cs="Times New Roman"/>
          <w:b/>
          <w:sz w:val="24"/>
          <w:szCs w:val="24"/>
        </w:rPr>
        <w:t>I</w:t>
      </w:r>
      <w:r w:rsidR="000D7302" w:rsidRPr="003E1925">
        <w:rPr>
          <w:rFonts w:cs="Times New Roman"/>
          <w:b/>
          <w:sz w:val="24"/>
          <w:szCs w:val="24"/>
          <w:lang w:val="en-US"/>
        </w:rPr>
        <w:t>II</w:t>
      </w:r>
      <w:r w:rsidR="00A35F22" w:rsidRPr="003E1925">
        <w:rPr>
          <w:rFonts w:cs="Times New Roman"/>
          <w:b/>
          <w:sz w:val="24"/>
          <w:szCs w:val="24"/>
        </w:rPr>
        <w:t xml:space="preserve"> «</w:t>
      </w:r>
      <w:r w:rsidR="00FB354D" w:rsidRPr="003E1925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3E1925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F44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F446B0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811B3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lang w:eastAsia="ru-RU"/>
              </w:rPr>
              <w:t>107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DC31D0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DC31D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0D3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F446B0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Сергиево-Посадского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городского округ.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D9" w:rsidRDefault="002257D9">
      <w:r>
        <w:separator/>
      </w:r>
    </w:p>
  </w:endnote>
  <w:endnote w:type="continuationSeparator" w:id="0">
    <w:p w:rsidR="002257D9" w:rsidRDefault="0022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D9" w:rsidRDefault="002257D9">
      <w:pPr>
        <w:rPr>
          <w:sz w:val="12"/>
        </w:rPr>
      </w:pPr>
      <w:r>
        <w:separator/>
      </w:r>
    </w:p>
  </w:footnote>
  <w:footnote w:type="continuationSeparator" w:id="0">
    <w:p w:rsidR="002257D9" w:rsidRDefault="002257D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87906" w:rsidRPr="00D52B39" w:rsidRDefault="00687906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2331D9">
          <w:rPr>
            <w:noProof/>
            <w:sz w:val="24"/>
          </w:rPr>
          <w:t>2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620"/>
    <w:rsid w:val="000910EA"/>
    <w:rsid w:val="00096A74"/>
    <w:rsid w:val="0009771F"/>
    <w:rsid w:val="000A6583"/>
    <w:rsid w:val="000A75F7"/>
    <w:rsid w:val="000B2BDE"/>
    <w:rsid w:val="000B4F70"/>
    <w:rsid w:val="000B546A"/>
    <w:rsid w:val="000B63D9"/>
    <w:rsid w:val="000C10F5"/>
    <w:rsid w:val="000C1599"/>
    <w:rsid w:val="000C29B2"/>
    <w:rsid w:val="000C3D5D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D71"/>
    <w:rsid w:val="00131944"/>
    <w:rsid w:val="00133DF0"/>
    <w:rsid w:val="00136F17"/>
    <w:rsid w:val="00140A4D"/>
    <w:rsid w:val="00142803"/>
    <w:rsid w:val="00143060"/>
    <w:rsid w:val="001450B3"/>
    <w:rsid w:val="0014674F"/>
    <w:rsid w:val="00150642"/>
    <w:rsid w:val="00154141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B0FEF"/>
    <w:rsid w:val="001B29D0"/>
    <w:rsid w:val="001B44F8"/>
    <w:rsid w:val="001B528A"/>
    <w:rsid w:val="001B63D3"/>
    <w:rsid w:val="001B6EA4"/>
    <w:rsid w:val="001B7AFE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57D9"/>
    <w:rsid w:val="00227014"/>
    <w:rsid w:val="002327DB"/>
    <w:rsid w:val="00232F23"/>
    <w:rsid w:val="002331D9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871"/>
    <w:rsid w:val="00247C1A"/>
    <w:rsid w:val="002519A5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D23"/>
    <w:rsid w:val="002B6C88"/>
    <w:rsid w:val="002B6F04"/>
    <w:rsid w:val="002B7AF1"/>
    <w:rsid w:val="002C1E06"/>
    <w:rsid w:val="002C35B2"/>
    <w:rsid w:val="002C5E80"/>
    <w:rsid w:val="002D12FA"/>
    <w:rsid w:val="002D4025"/>
    <w:rsid w:val="002D4C0A"/>
    <w:rsid w:val="002D4FC9"/>
    <w:rsid w:val="002D5BAF"/>
    <w:rsid w:val="002D5DCF"/>
    <w:rsid w:val="002D652C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4DC2"/>
    <w:rsid w:val="00355909"/>
    <w:rsid w:val="0035618A"/>
    <w:rsid w:val="00356906"/>
    <w:rsid w:val="00361152"/>
    <w:rsid w:val="00362A13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6926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D03"/>
    <w:rsid w:val="003C4844"/>
    <w:rsid w:val="003C4EC3"/>
    <w:rsid w:val="003C6A25"/>
    <w:rsid w:val="003C7867"/>
    <w:rsid w:val="003C7A5D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721B"/>
    <w:rsid w:val="004951CC"/>
    <w:rsid w:val="00497092"/>
    <w:rsid w:val="0049771D"/>
    <w:rsid w:val="004A390A"/>
    <w:rsid w:val="004A5325"/>
    <w:rsid w:val="004B1BEF"/>
    <w:rsid w:val="004B3665"/>
    <w:rsid w:val="004B5175"/>
    <w:rsid w:val="004B5641"/>
    <w:rsid w:val="004B7224"/>
    <w:rsid w:val="004C03F7"/>
    <w:rsid w:val="004C1CAA"/>
    <w:rsid w:val="004C1E98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6349"/>
    <w:rsid w:val="00546B2F"/>
    <w:rsid w:val="005470CB"/>
    <w:rsid w:val="00547B3A"/>
    <w:rsid w:val="0055489A"/>
    <w:rsid w:val="0055556F"/>
    <w:rsid w:val="00555839"/>
    <w:rsid w:val="005600E7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36DD"/>
    <w:rsid w:val="00616477"/>
    <w:rsid w:val="00616DFB"/>
    <w:rsid w:val="0062096A"/>
    <w:rsid w:val="006209D8"/>
    <w:rsid w:val="00620D33"/>
    <w:rsid w:val="00621198"/>
    <w:rsid w:val="00623570"/>
    <w:rsid w:val="0062441B"/>
    <w:rsid w:val="00624E7B"/>
    <w:rsid w:val="00626D0B"/>
    <w:rsid w:val="00627AB7"/>
    <w:rsid w:val="00631796"/>
    <w:rsid w:val="00631810"/>
    <w:rsid w:val="00633A97"/>
    <w:rsid w:val="006341BF"/>
    <w:rsid w:val="00635299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ECA"/>
    <w:rsid w:val="006644E3"/>
    <w:rsid w:val="006648B0"/>
    <w:rsid w:val="006659BD"/>
    <w:rsid w:val="00670A20"/>
    <w:rsid w:val="00672576"/>
    <w:rsid w:val="00672FCD"/>
    <w:rsid w:val="00675BD4"/>
    <w:rsid w:val="006822BC"/>
    <w:rsid w:val="00682436"/>
    <w:rsid w:val="00682BF1"/>
    <w:rsid w:val="00685492"/>
    <w:rsid w:val="00687906"/>
    <w:rsid w:val="00690005"/>
    <w:rsid w:val="0069483E"/>
    <w:rsid w:val="00696484"/>
    <w:rsid w:val="006A03BF"/>
    <w:rsid w:val="006A3E9D"/>
    <w:rsid w:val="006A4E93"/>
    <w:rsid w:val="006A5163"/>
    <w:rsid w:val="006A56B1"/>
    <w:rsid w:val="006A6C49"/>
    <w:rsid w:val="006B7086"/>
    <w:rsid w:val="006C07CD"/>
    <w:rsid w:val="006C0EEC"/>
    <w:rsid w:val="006C1AD6"/>
    <w:rsid w:val="006C3364"/>
    <w:rsid w:val="006C3A06"/>
    <w:rsid w:val="006D26D5"/>
    <w:rsid w:val="006D4F5B"/>
    <w:rsid w:val="006D55F0"/>
    <w:rsid w:val="006E09CA"/>
    <w:rsid w:val="006E1066"/>
    <w:rsid w:val="006E2135"/>
    <w:rsid w:val="006E340F"/>
    <w:rsid w:val="006E5D19"/>
    <w:rsid w:val="006F066A"/>
    <w:rsid w:val="006F078D"/>
    <w:rsid w:val="006F33CF"/>
    <w:rsid w:val="006F524A"/>
    <w:rsid w:val="00702572"/>
    <w:rsid w:val="00702B26"/>
    <w:rsid w:val="00702F61"/>
    <w:rsid w:val="007035BB"/>
    <w:rsid w:val="00707474"/>
    <w:rsid w:val="00710069"/>
    <w:rsid w:val="007101FC"/>
    <w:rsid w:val="00711091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41A52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69ED"/>
    <w:rsid w:val="00766AFB"/>
    <w:rsid w:val="00767B3B"/>
    <w:rsid w:val="00773F52"/>
    <w:rsid w:val="0077518A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3583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5BF1"/>
    <w:rsid w:val="007B65D9"/>
    <w:rsid w:val="007C0835"/>
    <w:rsid w:val="007C3284"/>
    <w:rsid w:val="007D1EF9"/>
    <w:rsid w:val="007D20DE"/>
    <w:rsid w:val="007D41C8"/>
    <w:rsid w:val="007D46A9"/>
    <w:rsid w:val="007D5F4A"/>
    <w:rsid w:val="007D7F5B"/>
    <w:rsid w:val="007E00F3"/>
    <w:rsid w:val="007E22B5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1B30"/>
    <w:rsid w:val="008120FD"/>
    <w:rsid w:val="0081292B"/>
    <w:rsid w:val="00813534"/>
    <w:rsid w:val="00814B1D"/>
    <w:rsid w:val="0081562F"/>
    <w:rsid w:val="00820A3F"/>
    <w:rsid w:val="00821C67"/>
    <w:rsid w:val="00822C72"/>
    <w:rsid w:val="00826989"/>
    <w:rsid w:val="00826A97"/>
    <w:rsid w:val="00830943"/>
    <w:rsid w:val="008322F4"/>
    <w:rsid w:val="0083414C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7008"/>
    <w:rsid w:val="008772D4"/>
    <w:rsid w:val="008829B5"/>
    <w:rsid w:val="00884620"/>
    <w:rsid w:val="00886171"/>
    <w:rsid w:val="00895F3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ABA"/>
    <w:rsid w:val="00937D1B"/>
    <w:rsid w:val="00937EAA"/>
    <w:rsid w:val="00942CB4"/>
    <w:rsid w:val="00943FDA"/>
    <w:rsid w:val="00944175"/>
    <w:rsid w:val="00944432"/>
    <w:rsid w:val="009444AF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5BD0"/>
    <w:rsid w:val="009B644C"/>
    <w:rsid w:val="009C1E44"/>
    <w:rsid w:val="009C6987"/>
    <w:rsid w:val="009C7E2A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7783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F22"/>
    <w:rsid w:val="00A36717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7006"/>
    <w:rsid w:val="00A61D23"/>
    <w:rsid w:val="00A62A12"/>
    <w:rsid w:val="00A66ADE"/>
    <w:rsid w:val="00A71720"/>
    <w:rsid w:val="00A72670"/>
    <w:rsid w:val="00A7301E"/>
    <w:rsid w:val="00A75226"/>
    <w:rsid w:val="00A76231"/>
    <w:rsid w:val="00A80826"/>
    <w:rsid w:val="00A80CAD"/>
    <w:rsid w:val="00A8266A"/>
    <w:rsid w:val="00A82F63"/>
    <w:rsid w:val="00A84B79"/>
    <w:rsid w:val="00A86F9B"/>
    <w:rsid w:val="00A95A49"/>
    <w:rsid w:val="00A9602A"/>
    <w:rsid w:val="00A969E1"/>
    <w:rsid w:val="00AA1576"/>
    <w:rsid w:val="00AA18D4"/>
    <w:rsid w:val="00AA1E3F"/>
    <w:rsid w:val="00AA3F58"/>
    <w:rsid w:val="00AA5192"/>
    <w:rsid w:val="00AA6885"/>
    <w:rsid w:val="00AB1677"/>
    <w:rsid w:val="00AB1BC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3C77"/>
    <w:rsid w:val="00AD3FC4"/>
    <w:rsid w:val="00AD5651"/>
    <w:rsid w:val="00AD7316"/>
    <w:rsid w:val="00AD7810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70938"/>
    <w:rsid w:val="00B7536F"/>
    <w:rsid w:val="00B766A5"/>
    <w:rsid w:val="00B770E0"/>
    <w:rsid w:val="00B84F4E"/>
    <w:rsid w:val="00B973D3"/>
    <w:rsid w:val="00B97AA6"/>
    <w:rsid w:val="00BA2E7B"/>
    <w:rsid w:val="00BA3C00"/>
    <w:rsid w:val="00BA5D24"/>
    <w:rsid w:val="00BA7ADF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46B8"/>
    <w:rsid w:val="00BD75C9"/>
    <w:rsid w:val="00BD78A2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3845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1D8E"/>
    <w:rsid w:val="00CC25E9"/>
    <w:rsid w:val="00CC3322"/>
    <w:rsid w:val="00CC48D3"/>
    <w:rsid w:val="00CC5B06"/>
    <w:rsid w:val="00CC62CD"/>
    <w:rsid w:val="00CC6BCF"/>
    <w:rsid w:val="00CD5168"/>
    <w:rsid w:val="00CD51EF"/>
    <w:rsid w:val="00CD5273"/>
    <w:rsid w:val="00CD65E0"/>
    <w:rsid w:val="00CE0EC3"/>
    <w:rsid w:val="00CE4FE0"/>
    <w:rsid w:val="00CE5E71"/>
    <w:rsid w:val="00CE7028"/>
    <w:rsid w:val="00CF0354"/>
    <w:rsid w:val="00CF0C2F"/>
    <w:rsid w:val="00CF24EC"/>
    <w:rsid w:val="00CF3748"/>
    <w:rsid w:val="00CF5E40"/>
    <w:rsid w:val="00D025D9"/>
    <w:rsid w:val="00D02F92"/>
    <w:rsid w:val="00D044A6"/>
    <w:rsid w:val="00D05C7C"/>
    <w:rsid w:val="00D07E7E"/>
    <w:rsid w:val="00D1185E"/>
    <w:rsid w:val="00D130CB"/>
    <w:rsid w:val="00D1403F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76833"/>
    <w:rsid w:val="00D82B1F"/>
    <w:rsid w:val="00D85A4B"/>
    <w:rsid w:val="00D91373"/>
    <w:rsid w:val="00D91664"/>
    <w:rsid w:val="00D91903"/>
    <w:rsid w:val="00D96076"/>
    <w:rsid w:val="00D96AC3"/>
    <w:rsid w:val="00DA0C64"/>
    <w:rsid w:val="00DA4A9C"/>
    <w:rsid w:val="00DB240B"/>
    <w:rsid w:val="00DB2FAD"/>
    <w:rsid w:val="00DB2FE0"/>
    <w:rsid w:val="00DB59A3"/>
    <w:rsid w:val="00DC021C"/>
    <w:rsid w:val="00DC10DE"/>
    <w:rsid w:val="00DC1BAC"/>
    <w:rsid w:val="00DC31D0"/>
    <w:rsid w:val="00DC6D05"/>
    <w:rsid w:val="00DD0A63"/>
    <w:rsid w:val="00DD114A"/>
    <w:rsid w:val="00DD7E75"/>
    <w:rsid w:val="00DE199B"/>
    <w:rsid w:val="00DE34C9"/>
    <w:rsid w:val="00DE4CE4"/>
    <w:rsid w:val="00DE518C"/>
    <w:rsid w:val="00DE586A"/>
    <w:rsid w:val="00DE6EA7"/>
    <w:rsid w:val="00DF232B"/>
    <w:rsid w:val="00DF76BE"/>
    <w:rsid w:val="00E0022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6FDC"/>
    <w:rsid w:val="00E47A33"/>
    <w:rsid w:val="00E52898"/>
    <w:rsid w:val="00E57E19"/>
    <w:rsid w:val="00E57E26"/>
    <w:rsid w:val="00E627EF"/>
    <w:rsid w:val="00E63876"/>
    <w:rsid w:val="00E64F32"/>
    <w:rsid w:val="00E67B1B"/>
    <w:rsid w:val="00E73A90"/>
    <w:rsid w:val="00E74600"/>
    <w:rsid w:val="00E75470"/>
    <w:rsid w:val="00E764A5"/>
    <w:rsid w:val="00E76AD8"/>
    <w:rsid w:val="00E81EF7"/>
    <w:rsid w:val="00E836A9"/>
    <w:rsid w:val="00E85B31"/>
    <w:rsid w:val="00E86D51"/>
    <w:rsid w:val="00E87829"/>
    <w:rsid w:val="00E87A5C"/>
    <w:rsid w:val="00E90E37"/>
    <w:rsid w:val="00E93CA9"/>
    <w:rsid w:val="00E93FB6"/>
    <w:rsid w:val="00E945DE"/>
    <w:rsid w:val="00E94FAB"/>
    <w:rsid w:val="00E956E1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2721"/>
    <w:rsid w:val="00F16FC7"/>
    <w:rsid w:val="00F17C0F"/>
    <w:rsid w:val="00F17DD8"/>
    <w:rsid w:val="00F21CEC"/>
    <w:rsid w:val="00F245B9"/>
    <w:rsid w:val="00F247F5"/>
    <w:rsid w:val="00F27243"/>
    <w:rsid w:val="00F3019F"/>
    <w:rsid w:val="00F31B78"/>
    <w:rsid w:val="00F364EE"/>
    <w:rsid w:val="00F44277"/>
    <w:rsid w:val="00F446B0"/>
    <w:rsid w:val="00F45D6A"/>
    <w:rsid w:val="00F464B1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B0EE1"/>
    <w:rsid w:val="00FB27F1"/>
    <w:rsid w:val="00FB354D"/>
    <w:rsid w:val="00FB3AB5"/>
    <w:rsid w:val="00FB3FB4"/>
    <w:rsid w:val="00FB42CE"/>
    <w:rsid w:val="00FB6724"/>
    <w:rsid w:val="00FB71B4"/>
    <w:rsid w:val="00FC182D"/>
    <w:rsid w:val="00FC454E"/>
    <w:rsid w:val="00FC4E01"/>
    <w:rsid w:val="00FC53A4"/>
    <w:rsid w:val="00FC5AE9"/>
    <w:rsid w:val="00FC6BD0"/>
    <w:rsid w:val="00FD2FC4"/>
    <w:rsid w:val="00FE10DD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08474-941E-469C-AE2C-2DCFDC82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51</Pages>
  <Words>12758</Words>
  <Characters>72726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80</cp:revision>
  <cp:lastPrinted>2024-02-14T06:33:00Z</cp:lastPrinted>
  <dcterms:created xsi:type="dcterms:W3CDTF">2023-12-27T07:54:00Z</dcterms:created>
  <dcterms:modified xsi:type="dcterms:W3CDTF">2024-02-16T08:19:00Z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