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366"/>
      </w:tblGrid>
      <w:tr w:rsidR="000833C3" w:rsidRPr="00DC626A" w14:paraId="3744D705" w14:textId="77777777" w:rsidTr="00E2661E">
        <w:tc>
          <w:tcPr>
            <w:tcW w:w="5204" w:type="dxa"/>
          </w:tcPr>
          <w:p w14:paraId="27D956E9" w14:textId="77777777" w:rsidR="000833C3" w:rsidRPr="00DC626A" w:rsidRDefault="000833C3" w:rsidP="000833C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57E7E09D" w14:textId="2051B6FA" w:rsidR="000833C3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79E54E70" w14:textId="5F0EB97C" w:rsidR="00085731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26678B96" w14:textId="233A361D" w:rsidR="00085731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Сергиево-Посадского городского округа Московской области</w:t>
            </w:r>
          </w:p>
          <w:p w14:paraId="0B3ACD88" w14:textId="63994812" w:rsidR="00085731" w:rsidRDefault="00092A9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27.08.2024 </w:t>
            </w:r>
            <w:r w:rsidR="00085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2185-ПА</w:t>
            </w:r>
            <w:bookmarkStart w:id="0" w:name="_GoBack"/>
            <w:bookmarkEnd w:id="0"/>
          </w:p>
          <w:p w14:paraId="61ABE846" w14:textId="77777777" w:rsidR="00085731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BDD8" w14:textId="77777777" w:rsidR="00085731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0DB2C" w14:textId="4571EEB6" w:rsidR="000833C3" w:rsidRPr="00B6098C" w:rsidRDefault="00085731" w:rsidP="000833C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33C3" w:rsidRPr="00DC626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8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3C3" w:rsidRPr="00B60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0515A8" w14:textId="77777777" w:rsidR="000833C3" w:rsidRPr="00DC626A" w:rsidRDefault="000833C3" w:rsidP="00083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2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626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открытого аукциона в электронной форме на право</w:t>
            </w:r>
            <w:r w:rsidRPr="00DC626A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размещения 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Сергиево-Посадского городского округа Московской области</w:t>
            </w:r>
          </w:p>
          <w:p w14:paraId="591C8C72" w14:textId="77777777" w:rsidR="000833C3" w:rsidRPr="00DC626A" w:rsidRDefault="000833C3" w:rsidP="000833C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2164A" w14:textId="69EB8976" w:rsidR="00E2661E" w:rsidRPr="00E2661E" w:rsidRDefault="00E2661E" w:rsidP="00E2661E">
      <w:pPr>
        <w:widowControl w:val="0"/>
        <w:suppressAutoHyphens/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Методика</w:t>
      </w:r>
    </w:p>
    <w:p w14:paraId="4FDDF205" w14:textId="77777777" w:rsidR="00E2661E" w:rsidRPr="00E2661E" w:rsidRDefault="00E2661E" w:rsidP="00E2661E">
      <w:pPr>
        <w:widowControl w:val="0"/>
        <w:suppressAutoHyphens/>
        <w:autoSpaceDE w:val="0"/>
        <w:spacing w:after="0"/>
        <w:jc w:val="center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определения минимальной (начальной) цены аукциона на право размещения </w:t>
      </w:r>
    </w:p>
    <w:p w14:paraId="109A7B31" w14:textId="77777777" w:rsidR="00E2661E" w:rsidRDefault="00E2661E" w:rsidP="00E2661E">
      <w:pPr>
        <w:widowControl w:val="0"/>
        <w:suppressAutoHyphens/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нестационарного торгового объекта </w:t>
      </w:r>
    </w:p>
    <w:p w14:paraId="546162B7" w14:textId="77777777" w:rsidR="00F90B4F" w:rsidRDefault="00F90B4F" w:rsidP="00E2661E">
      <w:pPr>
        <w:widowControl w:val="0"/>
        <w:suppressAutoHyphens/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zh-CN"/>
          <w14:ligatures w14:val="none"/>
        </w:rPr>
      </w:pPr>
    </w:p>
    <w:p w14:paraId="7E127F9B" w14:textId="43BB772C" w:rsidR="00F90B4F" w:rsidRPr="00F90B4F" w:rsidRDefault="00F90B4F" w:rsidP="00F90B4F">
      <w:pPr>
        <w:pStyle w:val="a3"/>
        <w:widowControl w:val="0"/>
        <w:numPr>
          <w:ilvl w:val="0"/>
          <w:numId w:val="16"/>
        </w:numPr>
        <w:tabs>
          <w:tab w:val="left" w:pos="851"/>
        </w:tabs>
        <w:suppressAutoHyphens/>
        <w:autoSpaceDE w:val="0"/>
        <w:spacing w:after="0"/>
        <w:ind w:left="0" w:firstLine="36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Методика определения минимальной (на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чальной) цены аукциона на право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размещения нестационарного торгового объекта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применяется для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определения минимальной (на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чальной) цены аукциона на право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размещения нестационарного торгового объекта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размещаем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ого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на основании схемы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размещения нестационарных торговых объектов на территории Сергиево-Посадского городского округа Московской области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на землях или земельных участках, находящихся в </w:t>
      </w:r>
      <w:r w:rsidR="003105EA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неразграниченной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государственной </w:t>
      </w:r>
      <w:r w:rsidR="003105EA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собственности 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или муниципальной собственности, за исключением участков, предоставленных в пользовани</w:t>
      </w:r>
      <w:r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е гражданам и юридическим лицам.</w:t>
      </w:r>
    </w:p>
    <w:p w14:paraId="479C3623" w14:textId="71674FD0" w:rsidR="00E2661E" w:rsidRPr="00F90B4F" w:rsidRDefault="00E2661E" w:rsidP="00F90B4F">
      <w:pPr>
        <w:pStyle w:val="a3"/>
        <w:widowControl w:val="0"/>
        <w:numPr>
          <w:ilvl w:val="0"/>
          <w:numId w:val="16"/>
        </w:numPr>
        <w:tabs>
          <w:tab w:val="left" w:pos="851"/>
        </w:tabs>
        <w:suppressAutoHyphens/>
        <w:autoSpaceDE w:val="0"/>
        <w:spacing w:after="0"/>
        <w:ind w:left="0" w:firstLine="36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Формула для расчета размера платы по договору на право размещения нестационарного торгового объекта на территории </w:t>
      </w:r>
      <w:r w:rsid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Сергиево-Посадского городского округа</w:t>
      </w:r>
      <w:r w:rsidRPr="00F90B4F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Московской области:</w:t>
      </w:r>
    </w:p>
    <w:p w14:paraId="4ED5A6F8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Р = С x S х </w:t>
      </w:r>
      <w:proofErr w:type="spellStart"/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К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s</w:t>
      </w:r>
      <w:proofErr w:type="spellEnd"/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. х </w:t>
      </w:r>
      <w:proofErr w:type="spellStart"/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К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мест</w:t>
      </w:r>
      <w:proofErr w:type="spellEnd"/>
      <w:proofErr w:type="gramStart"/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.</w:t>
      </w: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x</w:t>
      </w:r>
      <w:proofErr w:type="gramEnd"/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V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врем</w:t>
      </w:r>
      <w:proofErr w:type="spellEnd"/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.,</w:t>
      </w:r>
    </w:p>
    <w:p w14:paraId="75735228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где:</w:t>
      </w:r>
    </w:p>
    <w:p w14:paraId="6423AF1B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Р - размер платы по договору на право размещения нестационарного торгового объекта (размер платы (руб./место) за период пользования);</w:t>
      </w:r>
    </w:p>
    <w:p w14:paraId="48019246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С - базовый размер платы по договору на право размещения нестационарного торгового объекта (руб./кв. м);</w:t>
      </w:r>
    </w:p>
    <w:p w14:paraId="7F555DBE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S - площадь нестационарного торгового объекта (кв. м);</w:t>
      </w:r>
    </w:p>
    <w:p w14:paraId="08FA4BD2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proofErr w:type="spellStart"/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К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s</w:t>
      </w:r>
      <w:proofErr w:type="spellEnd"/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. - коэффициент, учитывающий площадь объекта;</w:t>
      </w:r>
    </w:p>
    <w:p w14:paraId="053B6C44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proofErr w:type="spellStart"/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К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мест</w:t>
      </w:r>
      <w:proofErr w:type="spellEnd"/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.</w:t>
      </w: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 xml:space="preserve"> - коэффициент, учитывающий территориальное месторасположение объекта;</w:t>
      </w:r>
    </w:p>
    <w:p w14:paraId="53B5304A" w14:textId="77777777" w:rsidR="00E2661E" w:rsidRPr="00E2661E" w:rsidRDefault="00E2661E" w:rsidP="00E2661E">
      <w:pPr>
        <w:widowControl w:val="0"/>
        <w:suppressAutoHyphens/>
        <w:autoSpaceDE w:val="0"/>
        <w:spacing w:after="0"/>
        <w:ind w:firstLine="540"/>
        <w:jc w:val="both"/>
        <w:rPr>
          <w:rFonts w:ascii="Arial" w:eastAsia="Arial" w:hAnsi="Arial" w:cs="Arial"/>
          <w:kern w:val="0"/>
          <w:sz w:val="24"/>
          <w:szCs w:val="24"/>
          <w:lang w:eastAsia="zh-CN"/>
          <w14:ligatures w14:val="none"/>
        </w:rPr>
      </w:pPr>
      <w:proofErr w:type="spellStart"/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V</w:t>
      </w:r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врем</w:t>
      </w:r>
      <w:proofErr w:type="spellEnd"/>
      <w:r w:rsidRPr="00E2661E">
        <w:rPr>
          <w:rFonts w:eastAsia="Arial" w:cs="Times New Roman"/>
          <w:kern w:val="0"/>
          <w:sz w:val="24"/>
          <w:szCs w:val="24"/>
          <w:vertAlign w:val="subscript"/>
          <w:lang w:eastAsia="zh-CN"/>
          <w14:ligatures w14:val="none"/>
        </w:rPr>
        <w:t>.</w:t>
      </w:r>
      <w:r w:rsidRPr="00E2661E">
        <w:rPr>
          <w:rFonts w:eastAsia="Arial" w:cs="Times New Roman"/>
          <w:kern w:val="0"/>
          <w:sz w:val="24"/>
          <w:szCs w:val="24"/>
          <w:lang w:eastAsia="zh-CN"/>
          <w14:ligatures w14:val="none"/>
        </w:rPr>
        <w:t> - количество месяцев, на которое предоставляется место для размещения нестационарного торгового объекта.</w:t>
      </w:r>
    </w:p>
    <w:p w14:paraId="690A5A93" w14:textId="77777777" w:rsidR="00E2661E" w:rsidRPr="00E2661E" w:rsidRDefault="00E2661E" w:rsidP="00E2661E">
      <w:pPr>
        <w:widowControl w:val="0"/>
        <w:suppressAutoHyphens/>
        <w:autoSpaceDE w:val="0"/>
        <w:spacing w:after="0"/>
        <w:jc w:val="both"/>
        <w:rPr>
          <w:rFonts w:eastAsia="Arial" w:cs="Times New Roman"/>
          <w:kern w:val="0"/>
          <w:sz w:val="24"/>
          <w:szCs w:val="24"/>
          <w:lang w:eastAsia="zh-CN"/>
          <w14:ligatures w14:val="none"/>
        </w:rPr>
      </w:pPr>
    </w:p>
    <w:p w14:paraId="4D41B57C" w14:textId="77777777" w:rsidR="00E2661E" w:rsidRPr="00E2661E" w:rsidRDefault="00E2661E" w:rsidP="00E2661E">
      <w:pPr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ru-RU"/>
          <w14:ligatures w14:val="none"/>
        </w:rPr>
      </w:pPr>
    </w:p>
    <w:p w14:paraId="6CDC2817" w14:textId="77777777" w:rsidR="00E2661E" w:rsidRPr="00E2661E" w:rsidRDefault="00E2661E" w:rsidP="00E2661E">
      <w:pPr>
        <w:autoSpaceDE w:val="0"/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ru-RU"/>
          <w14:ligatures w14:val="none"/>
        </w:rPr>
        <w:t>ТАБЛИЦА</w:t>
      </w:r>
    </w:p>
    <w:p w14:paraId="54FAF696" w14:textId="77777777" w:rsidR="00E2661E" w:rsidRPr="00E2661E" w:rsidRDefault="00E2661E" w:rsidP="00E2661E">
      <w:pPr>
        <w:autoSpaceDE w:val="0"/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ru-RU"/>
          <w14:ligatures w14:val="none"/>
        </w:rPr>
        <w:t>базового размера платы по договору на право размещения</w:t>
      </w:r>
    </w:p>
    <w:p w14:paraId="3AD2B8A0" w14:textId="77777777" w:rsidR="00E2661E" w:rsidRPr="00E2661E" w:rsidRDefault="00E2661E" w:rsidP="00E2661E">
      <w:pPr>
        <w:autoSpaceDE w:val="0"/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Arial" w:cs="Times New Roman"/>
          <w:kern w:val="0"/>
          <w:sz w:val="24"/>
          <w:szCs w:val="24"/>
          <w:lang w:eastAsia="ru-RU"/>
          <w14:ligatures w14:val="none"/>
        </w:rPr>
        <w:t>нестационарного торгового объекта</w:t>
      </w:r>
      <w:r w:rsidRPr="00E2661E">
        <w:rPr>
          <w:rFonts w:eastAsia="Arial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01ADB0" w14:textId="77777777" w:rsidR="00E2661E" w:rsidRPr="00E2661E" w:rsidRDefault="00E2661E" w:rsidP="00E2661E">
      <w:pPr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ru-RU"/>
          <w14:ligatures w14:val="none"/>
        </w:rPr>
      </w:pPr>
    </w:p>
    <w:p w14:paraId="7871116D" w14:textId="77777777" w:rsidR="00E2661E" w:rsidRPr="00E2661E" w:rsidRDefault="00E2661E" w:rsidP="00E2661E">
      <w:pPr>
        <w:autoSpaceDE w:val="0"/>
        <w:spacing w:after="0"/>
        <w:jc w:val="center"/>
        <w:rPr>
          <w:rFonts w:eastAsia="Arial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3855"/>
        <w:gridCol w:w="4736"/>
      </w:tblGrid>
      <w:tr w:rsidR="00E2661E" w:rsidRPr="00E2661E" w14:paraId="7C0D0AE5" w14:textId="77777777" w:rsidTr="00B6098C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6704B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№ </w:t>
            </w: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EC418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Ассортиментный перечень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DD7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Базовая начальная ставка (С)</w:t>
            </w:r>
          </w:p>
          <w:p w14:paraId="60438F85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(руб./кв. м)</w:t>
            </w:r>
          </w:p>
          <w:p w14:paraId="1AE5C6EC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в месяц</w:t>
            </w:r>
          </w:p>
        </w:tc>
      </w:tr>
      <w:tr w:rsidR="00E2661E" w:rsidRPr="00E2661E" w14:paraId="19EF7548" w14:textId="77777777" w:rsidTr="00B6098C">
        <w:trPr>
          <w:trHeight w:val="7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F81E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535D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Продовольственные товары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0707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1500,0</w:t>
            </w:r>
          </w:p>
        </w:tc>
      </w:tr>
      <w:tr w:rsidR="00E2661E" w:rsidRPr="00E2661E" w14:paraId="095A0CE6" w14:textId="77777777" w:rsidTr="00B6098C">
        <w:trPr>
          <w:trHeight w:val="7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078D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6F22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Непродовольственные товары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4D0F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1500,0</w:t>
            </w:r>
          </w:p>
        </w:tc>
      </w:tr>
      <w:tr w:rsidR="00E2661E" w:rsidRPr="00E2661E" w14:paraId="013C708C" w14:textId="77777777" w:rsidTr="00B6098C">
        <w:trPr>
          <w:trHeight w:val="7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7BDD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C2D9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Сувениры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D873" w14:textId="77777777" w:rsidR="00E2661E" w:rsidRPr="00E2661E" w:rsidRDefault="00E2661E" w:rsidP="00E2661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2661E">
              <w:rPr>
                <w:rFonts w:eastAsia="Arial" w:cs="Times New Roman"/>
                <w:kern w:val="0"/>
                <w:sz w:val="24"/>
                <w:szCs w:val="24"/>
                <w:lang w:eastAsia="zh-CN"/>
                <w14:ligatures w14:val="none"/>
              </w:rPr>
              <w:t>750,00</w:t>
            </w:r>
          </w:p>
        </w:tc>
      </w:tr>
    </w:tbl>
    <w:p w14:paraId="34FDB26D" w14:textId="77777777" w:rsidR="00E2661E" w:rsidRPr="00E2661E" w:rsidRDefault="00E2661E" w:rsidP="00F90B4F">
      <w:pPr>
        <w:autoSpaceDE w:val="0"/>
        <w:spacing w:after="0"/>
        <w:rPr>
          <w:rFonts w:eastAsia="Arial" w:cs="Times New Roman"/>
          <w:kern w:val="0"/>
          <w:sz w:val="24"/>
          <w:szCs w:val="24"/>
          <w:lang w:eastAsia="ru-RU"/>
          <w14:ligatures w14:val="none"/>
        </w:rPr>
      </w:pPr>
    </w:p>
    <w:p w14:paraId="060EBBCD" w14:textId="77777777" w:rsidR="00E2661E" w:rsidRPr="00E2661E" w:rsidRDefault="00E2661E" w:rsidP="00E2661E">
      <w:pPr>
        <w:widowControl w:val="0"/>
        <w:autoSpaceDE w:val="0"/>
        <w:autoSpaceDN w:val="0"/>
        <w:spacing w:after="0"/>
        <w:jc w:val="center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ТАБЛИЦА</w:t>
      </w:r>
    </w:p>
    <w:p w14:paraId="7E475074" w14:textId="64A9C7AF" w:rsidR="00E2661E" w:rsidRPr="00E2661E" w:rsidRDefault="00E2661E" w:rsidP="00E2661E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kern w:val="0"/>
          <w:sz w:val="20"/>
          <w:lang w:eastAsia="ru-RU"/>
          <w14:ligatures w14:val="none"/>
        </w:rPr>
      </w:pPr>
      <w:r w:rsidRPr="00E266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коэффициентов площади объекта</w:t>
      </w:r>
    </w:p>
    <w:p w14:paraId="10E6800F" w14:textId="77777777" w:rsidR="00E2661E" w:rsidRPr="00E2661E" w:rsidRDefault="00E2661E" w:rsidP="00E2661E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kern w:val="0"/>
          <w:sz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863"/>
      </w:tblGrid>
      <w:tr w:rsidR="00E2661E" w:rsidRPr="00E2661E" w14:paraId="1F116538" w14:textId="77777777" w:rsidTr="00B6098C">
        <w:tc>
          <w:tcPr>
            <w:tcW w:w="567" w:type="dxa"/>
          </w:tcPr>
          <w:p w14:paraId="75CB741F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633" w:type="dxa"/>
          </w:tcPr>
          <w:p w14:paraId="1932BDB4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1863" w:type="dxa"/>
          </w:tcPr>
          <w:p w14:paraId="4AA4605B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Коэффициенты площади (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Кs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.)</w:t>
            </w:r>
          </w:p>
        </w:tc>
      </w:tr>
      <w:tr w:rsidR="00E2661E" w:rsidRPr="00E2661E" w14:paraId="795F126D" w14:textId="77777777" w:rsidTr="00B6098C">
        <w:tc>
          <w:tcPr>
            <w:tcW w:w="567" w:type="dxa"/>
          </w:tcPr>
          <w:p w14:paraId="7964C6DE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633" w:type="dxa"/>
          </w:tcPr>
          <w:p w14:paraId="2A2E3553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до 5 кв. метров (включительно)</w:t>
            </w:r>
          </w:p>
        </w:tc>
        <w:tc>
          <w:tcPr>
            <w:tcW w:w="1863" w:type="dxa"/>
          </w:tcPr>
          <w:p w14:paraId="49C08299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E2661E" w:rsidRPr="00E2661E" w14:paraId="42DC4E86" w14:textId="77777777" w:rsidTr="00B6098C">
        <w:tc>
          <w:tcPr>
            <w:tcW w:w="567" w:type="dxa"/>
          </w:tcPr>
          <w:p w14:paraId="4F52E08C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633" w:type="dxa"/>
          </w:tcPr>
          <w:p w14:paraId="397D4BED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от 6 до 10 кв. метров (включительно)</w:t>
            </w:r>
          </w:p>
        </w:tc>
        <w:tc>
          <w:tcPr>
            <w:tcW w:w="1863" w:type="dxa"/>
          </w:tcPr>
          <w:p w14:paraId="16D6A09C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</w:tr>
      <w:tr w:rsidR="00E2661E" w:rsidRPr="00E2661E" w14:paraId="13FE4D9C" w14:textId="77777777" w:rsidTr="00B6098C">
        <w:tc>
          <w:tcPr>
            <w:tcW w:w="567" w:type="dxa"/>
          </w:tcPr>
          <w:p w14:paraId="18BD39F5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6633" w:type="dxa"/>
          </w:tcPr>
          <w:p w14:paraId="2E652639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от 11 до 25 кв. метров (включительно)</w:t>
            </w:r>
          </w:p>
        </w:tc>
        <w:tc>
          <w:tcPr>
            <w:tcW w:w="1863" w:type="dxa"/>
          </w:tcPr>
          <w:p w14:paraId="797837B7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</w:tr>
      <w:tr w:rsidR="00E2661E" w:rsidRPr="00E2661E" w14:paraId="04C5E95D" w14:textId="77777777" w:rsidTr="00B6098C">
        <w:tc>
          <w:tcPr>
            <w:tcW w:w="567" w:type="dxa"/>
          </w:tcPr>
          <w:p w14:paraId="1DF42354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6633" w:type="dxa"/>
          </w:tcPr>
          <w:p w14:paraId="39FC1632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от 26 до 30 кв. метров (включительно)</w:t>
            </w:r>
          </w:p>
        </w:tc>
        <w:tc>
          <w:tcPr>
            <w:tcW w:w="1863" w:type="dxa"/>
          </w:tcPr>
          <w:p w14:paraId="16EC5D59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</w:tr>
      <w:tr w:rsidR="00E2661E" w:rsidRPr="00E2661E" w14:paraId="1223ECC4" w14:textId="77777777" w:rsidTr="00B6098C">
        <w:tc>
          <w:tcPr>
            <w:tcW w:w="567" w:type="dxa"/>
          </w:tcPr>
          <w:p w14:paraId="379659F2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6633" w:type="dxa"/>
          </w:tcPr>
          <w:p w14:paraId="1E05657E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от 31 до 50 кв. метров (включительно)</w:t>
            </w:r>
          </w:p>
        </w:tc>
        <w:tc>
          <w:tcPr>
            <w:tcW w:w="1863" w:type="dxa"/>
          </w:tcPr>
          <w:p w14:paraId="50135EAD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</w:tr>
      <w:tr w:rsidR="00E2661E" w:rsidRPr="00E2661E" w14:paraId="588431C1" w14:textId="77777777" w:rsidTr="00B6098C">
        <w:tc>
          <w:tcPr>
            <w:tcW w:w="567" w:type="dxa"/>
          </w:tcPr>
          <w:p w14:paraId="073ECD7C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6633" w:type="dxa"/>
          </w:tcPr>
          <w:p w14:paraId="0F5DBCF5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Нестационарный объект площадью от 51 до 150 кв. метров (включительно)</w:t>
            </w:r>
          </w:p>
        </w:tc>
        <w:tc>
          <w:tcPr>
            <w:tcW w:w="1863" w:type="dxa"/>
          </w:tcPr>
          <w:p w14:paraId="1A26AB3E" w14:textId="77777777" w:rsidR="00E2661E" w:rsidRPr="00E2661E" w:rsidRDefault="00E2661E" w:rsidP="00E2661E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</w:tr>
    </w:tbl>
    <w:p w14:paraId="627596D9" w14:textId="77777777" w:rsidR="00E2661E" w:rsidRPr="00E2661E" w:rsidRDefault="00E2661E" w:rsidP="00E2661E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0"/>
          <w:sz w:val="20"/>
          <w:lang w:eastAsia="ru-RU"/>
          <w14:ligatures w14:val="none"/>
        </w:rPr>
      </w:pPr>
    </w:p>
    <w:p w14:paraId="5428E596" w14:textId="77777777" w:rsidR="00E2661E" w:rsidRPr="00E2661E" w:rsidRDefault="00E2661E" w:rsidP="00E2661E">
      <w:pPr>
        <w:widowControl w:val="0"/>
        <w:autoSpaceDE w:val="0"/>
        <w:autoSpaceDN w:val="0"/>
        <w:spacing w:after="0"/>
        <w:jc w:val="center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ТАБЛИЦА</w:t>
      </w:r>
    </w:p>
    <w:p w14:paraId="2D64FBE1" w14:textId="2ED8282F" w:rsidR="00E2661E" w:rsidRPr="00E2661E" w:rsidRDefault="00E2661E" w:rsidP="00E2661E">
      <w:pPr>
        <w:widowControl w:val="0"/>
        <w:autoSpaceDE w:val="0"/>
        <w:autoSpaceDN w:val="0"/>
        <w:spacing w:after="0"/>
        <w:jc w:val="center"/>
        <w:outlineLvl w:val="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266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коэффициентов месторасположения для объектов нестационарной торговой сети</w:t>
      </w:r>
    </w:p>
    <w:p w14:paraId="619D3316" w14:textId="77777777" w:rsidR="00E2661E" w:rsidRPr="00E2661E" w:rsidRDefault="00E2661E" w:rsidP="00E2661E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0"/>
          <w:sz w:val="20"/>
          <w:lang w:eastAsia="ru-RU"/>
          <w14:ligatures w14:val="none"/>
        </w:rPr>
      </w:pPr>
    </w:p>
    <w:tbl>
      <w:tblPr>
        <w:tblpPr w:leftFromText="180" w:rightFromText="180" w:vertAnchor="text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83"/>
        <w:gridCol w:w="2381"/>
        <w:gridCol w:w="857"/>
      </w:tblGrid>
      <w:tr w:rsidR="00085731" w:rsidRPr="00E2661E" w14:paraId="23ACBD5E" w14:textId="574078A9" w:rsidTr="00085731">
        <w:tc>
          <w:tcPr>
            <w:tcW w:w="680" w:type="dxa"/>
            <w:vAlign w:val="center"/>
          </w:tcPr>
          <w:p w14:paraId="66BDC80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5783" w:type="dxa"/>
            <w:vAlign w:val="center"/>
          </w:tcPr>
          <w:p w14:paraId="19AFAA1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Месторасположение нестационарного торгового объекта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031DA76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Коэффициенты месторасположения (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мест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.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B6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0500457A" w14:textId="482B3A30" w:rsidTr="00085731">
        <w:tc>
          <w:tcPr>
            <w:tcW w:w="680" w:type="dxa"/>
            <w:vAlign w:val="center"/>
          </w:tcPr>
          <w:p w14:paraId="34E97E8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83" w:type="dxa"/>
            <w:vAlign w:val="center"/>
          </w:tcPr>
          <w:p w14:paraId="7CA8583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Сергиев Посад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14DE96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4249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425C30AE" w14:textId="45DDB1CA" w:rsidTr="00085731">
        <w:tc>
          <w:tcPr>
            <w:tcW w:w="680" w:type="dxa"/>
            <w:vAlign w:val="center"/>
          </w:tcPr>
          <w:p w14:paraId="7676151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83" w:type="dxa"/>
            <w:vAlign w:val="center"/>
          </w:tcPr>
          <w:p w14:paraId="2B14D16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Центр:</w:t>
            </w:r>
          </w:p>
          <w:p w14:paraId="58B31EFC" w14:textId="0932906D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проспект Красной Армии (от поворота на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Кооперативная до поворота на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Новоугличское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шоссе), ул. 1-й Ударной Армии, ул. Пионерская,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Бероунская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(до пересечения с ул. Валовая),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Вознесенская (в районе Смотровой площадки),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Красногорская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площадь, ул. К. Маркса, пер. Новый, дорога к Храму;</w:t>
            </w:r>
          </w:p>
          <w:p w14:paraId="6AB881F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Вокзал:</w:t>
            </w:r>
          </w:p>
          <w:p w14:paraId="435EA11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том числе, Вокзальная площадь, ул. Вознесенская,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ул. Сергиевская, ул. Кооперативная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056F0A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1,2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A7DE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16EEE65B" w14:textId="78BCF9DB" w:rsidTr="00085731">
        <w:tc>
          <w:tcPr>
            <w:tcW w:w="680" w:type="dxa"/>
            <w:vAlign w:val="center"/>
          </w:tcPr>
          <w:p w14:paraId="65C46B8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5783" w:type="dxa"/>
            <w:vAlign w:val="center"/>
          </w:tcPr>
          <w:p w14:paraId="3B5D546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Фабрика-кухня, Северный пос.:</w:t>
            </w:r>
          </w:p>
          <w:p w14:paraId="067D09F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проспект Красной Армии (от поворота на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Новоугличское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ш. до ПМК), ул. Осипенко, ул. Глинки, ул. Инженерная;</w:t>
            </w:r>
          </w:p>
          <w:p w14:paraId="05F4ABF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мкр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 Углич:</w:t>
            </w:r>
          </w:p>
          <w:p w14:paraId="1676DF8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Новоугличское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ш., бульвар Кузнецова, ул. Дружбы, ул. Пограничная, 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Деулино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696A16F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Клементьевский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пос., </w:t>
            </w:r>
          </w:p>
          <w:p w14:paraId="26008C5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мкр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-н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Семхоз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7E1430A1" w14:textId="6571F972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проспект</w:t>
            </w:r>
            <w:proofErr w:type="gram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Красной Армии (от путепровода до поворота на ул. Кооперативная), ул.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Хотьковская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Хотьковский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проезд, ул.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Воробьевская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Клементьевская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Нижненекрасовская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ул.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Левонадпрудная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607B67D9" w14:textId="77777777" w:rsidR="00085731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мкр</w:t>
            </w:r>
            <w:proofErr w:type="spellEnd"/>
            <w:proofErr w:type="gram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-н Звездочка, в том числе, ул. Институтская,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Железнодорожная, ул. Октябрьская, </w:t>
            </w:r>
          </w:p>
          <w:p w14:paraId="679A8094" w14:textId="794BDD13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Ак. Силина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D43A3C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A38D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2F8675E9" w14:textId="5CF2D0A4" w:rsidTr="00085731">
        <w:tc>
          <w:tcPr>
            <w:tcW w:w="680" w:type="dxa"/>
            <w:vAlign w:val="center"/>
          </w:tcPr>
          <w:p w14:paraId="6607FB7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783" w:type="dxa"/>
          </w:tcPr>
          <w:p w14:paraId="5B46C5D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Рабочий пос.:</w:t>
            </w:r>
          </w:p>
          <w:p w14:paraId="4521B3F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числе, ул. Шлякова, ул. Стахановская;</w:t>
            </w:r>
          </w:p>
          <w:p w14:paraId="3902985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Западный пос.:</w:t>
            </w:r>
          </w:p>
          <w:p w14:paraId="339A707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том числе, ул. Кирова, д. Благовещенье (около кладбища), ул. Семашко;</w:t>
            </w:r>
          </w:p>
          <w:p w14:paraId="46D91D35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мкр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 Ферма, д. Глинково:</w:t>
            </w:r>
          </w:p>
          <w:p w14:paraId="124258E4" w14:textId="7E8CA66F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том числе, ул. Фестивальная, ул.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Маслиева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Мира, ул. Озерная, ул. Солнечная, ул. Ясная,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Лесная, б-р Победы, д. Глинково;</w:t>
            </w:r>
          </w:p>
          <w:p w14:paraId="1658E61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Московское ш., г. Сергиев Посад-6:</w:t>
            </w:r>
          </w:p>
          <w:p w14:paraId="6B80C4B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том числе, Московское ш., ул. Фабричная, СП-6 (КПП, ул. Октябрьская)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607AD0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B032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1868012B" w14:textId="74F61995" w:rsidTr="00085731">
        <w:tc>
          <w:tcPr>
            <w:tcW w:w="680" w:type="dxa"/>
            <w:vAlign w:val="center"/>
          </w:tcPr>
          <w:p w14:paraId="5466293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783" w:type="dxa"/>
          </w:tcPr>
          <w:p w14:paraId="6E48C87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Северный пос., ПМК:</w:t>
            </w:r>
          </w:p>
          <w:p w14:paraId="793FB67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том числе,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Зубачевское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поле, частный сектор, ПМК;</w:t>
            </w:r>
          </w:p>
          <w:p w14:paraId="1C475A95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Скобяной пос.,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Афанасовский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пос.:</w:t>
            </w:r>
          </w:p>
          <w:p w14:paraId="786AC2E5" w14:textId="358A5C94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том числе, ул. Центральная, ул. Орджоникидзе,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Кирпичная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2C3B0F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05E7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41E2DA46" w14:textId="6074E674" w:rsidTr="00085731">
        <w:tc>
          <w:tcPr>
            <w:tcW w:w="680" w:type="dxa"/>
            <w:vAlign w:val="center"/>
          </w:tcPr>
          <w:p w14:paraId="69018C8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783" w:type="dxa"/>
          </w:tcPr>
          <w:p w14:paraId="7B7858C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2F2A64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9C73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3D3874C5" w14:textId="151C18A5" w:rsidTr="00085731">
        <w:tc>
          <w:tcPr>
            <w:tcW w:w="680" w:type="dxa"/>
            <w:vAlign w:val="center"/>
          </w:tcPr>
          <w:p w14:paraId="36DC846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83" w:type="dxa"/>
          </w:tcPr>
          <w:p w14:paraId="44D01625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Хотьково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DEE622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A2411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0C352345" w14:textId="3E768DDF" w:rsidTr="00085731">
        <w:tc>
          <w:tcPr>
            <w:tcW w:w="680" w:type="dxa"/>
            <w:vAlign w:val="center"/>
          </w:tcPr>
          <w:p w14:paraId="39E4741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783" w:type="dxa"/>
          </w:tcPr>
          <w:p w14:paraId="0C4798D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Кооперативная ул. Заводская ул. 1-я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Хотьковская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ул. Михеенко, ул.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Горжовицкая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ул. Седина, ул. Восточная, ул. Менделеева, ул. 1-я Станционная, пос. Север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1BF1FD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D7AD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29C4005E" w14:textId="1CCEEB0B" w:rsidTr="00085731">
        <w:tc>
          <w:tcPr>
            <w:tcW w:w="680" w:type="dxa"/>
            <w:vAlign w:val="center"/>
          </w:tcPr>
          <w:p w14:paraId="6D96CF5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783" w:type="dxa"/>
          </w:tcPr>
          <w:p w14:paraId="4D9CAB5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Майолик, ул. Калинина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E673E0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C36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6998C28B" w14:textId="492478BF" w:rsidTr="00085731">
        <w:tc>
          <w:tcPr>
            <w:tcW w:w="680" w:type="dxa"/>
            <w:vAlign w:val="center"/>
          </w:tcPr>
          <w:p w14:paraId="5F4EDDD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783" w:type="dxa"/>
          </w:tcPr>
          <w:p w14:paraId="6FA1EDE0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22FA9F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91CE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1CC85024" w14:textId="05171B92" w:rsidTr="00085731">
        <w:tc>
          <w:tcPr>
            <w:tcW w:w="680" w:type="dxa"/>
            <w:vAlign w:val="center"/>
          </w:tcPr>
          <w:p w14:paraId="246C4FD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83" w:type="dxa"/>
          </w:tcPr>
          <w:p w14:paraId="6A3F18C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Пересвет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1A5B2C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6C5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2D8700F0" w14:textId="4D0EC15D" w:rsidTr="00085731">
        <w:tc>
          <w:tcPr>
            <w:tcW w:w="680" w:type="dxa"/>
            <w:vAlign w:val="center"/>
          </w:tcPr>
          <w:p w14:paraId="4BB7325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783" w:type="dxa"/>
          </w:tcPr>
          <w:p w14:paraId="4E143051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Пионерская, ул. Строителей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78E6A0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CF29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06CC2030" w14:textId="5394451B" w:rsidTr="00085731">
        <w:tc>
          <w:tcPr>
            <w:tcW w:w="680" w:type="dxa"/>
            <w:vAlign w:val="center"/>
          </w:tcPr>
          <w:p w14:paraId="2F3BC20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5783" w:type="dxa"/>
          </w:tcPr>
          <w:p w14:paraId="228FE515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Октябрьская, ул. Мира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5541C3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EF00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2D9A635C" w14:textId="027CDD2C" w:rsidTr="00085731">
        <w:tc>
          <w:tcPr>
            <w:tcW w:w="680" w:type="dxa"/>
            <w:vAlign w:val="center"/>
          </w:tcPr>
          <w:p w14:paraId="5FFB849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783" w:type="dxa"/>
          </w:tcPr>
          <w:p w14:paraId="4F1B573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Гагарина, ул. Королева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6ED030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D925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1A5796E9" w14:textId="5424C829" w:rsidTr="00085731">
        <w:tc>
          <w:tcPr>
            <w:tcW w:w="680" w:type="dxa"/>
            <w:vAlign w:val="center"/>
          </w:tcPr>
          <w:p w14:paraId="16E29A4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783" w:type="dxa"/>
          </w:tcPr>
          <w:p w14:paraId="0E44CE0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0A0227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FBD94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23DA0029" w14:textId="36B8A883" w:rsidTr="00085731">
        <w:tc>
          <w:tcPr>
            <w:tcW w:w="680" w:type="dxa"/>
            <w:vAlign w:val="center"/>
          </w:tcPr>
          <w:p w14:paraId="2D45346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83" w:type="dxa"/>
          </w:tcPr>
          <w:p w14:paraId="52F8048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Краснозаводск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FD2C4F1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589F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3AE18B6E" w14:textId="6C29F961" w:rsidTr="00085731">
        <w:tc>
          <w:tcPr>
            <w:tcW w:w="680" w:type="dxa"/>
            <w:vAlign w:val="center"/>
          </w:tcPr>
          <w:p w14:paraId="7D44D79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783" w:type="dxa"/>
          </w:tcPr>
          <w:p w14:paraId="5510C77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1 Мая, ул. 50 лет Октября, ул. Новая, ул. Театральная, ул.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Краснозаводская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FC16F8E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0F0B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5DDCDD1D" w14:textId="392FFE64" w:rsidTr="00085731">
        <w:tc>
          <w:tcPr>
            <w:tcW w:w="680" w:type="dxa"/>
            <w:vAlign w:val="center"/>
          </w:tcPr>
          <w:p w14:paraId="79AEC3B7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783" w:type="dxa"/>
          </w:tcPr>
          <w:p w14:paraId="40972BA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40 лет Победы, ул. Строителей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0271ABE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F0E9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79BD44DE" w14:textId="6B2026B3" w:rsidTr="00085731">
        <w:tc>
          <w:tcPr>
            <w:tcW w:w="680" w:type="dxa"/>
            <w:vAlign w:val="center"/>
          </w:tcPr>
          <w:p w14:paraId="7D1B88B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783" w:type="dxa"/>
          </w:tcPr>
          <w:p w14:paraId="2458A38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районе городского кладбища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786642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8B6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3054C516" w14:textId="10E6B748" w:rsidTr="00085731">
        <w:tc>
          <w:tcPr>
            <w:tcW w:w="680" w:type="dxa"/>
            <w:vAlign w:val="center"/>
          </w:tcPr>
          <w:p w14:paraId="6D08000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783" w:type="dxa"/>
          </w:tcPr>
          <w:p w14:paraId="66F6888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1AE0777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20118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01BEB8F9" w14:textId="13C101EA" w:rsidTr="00085731">
        <w:tc>
          <w:tcPr>
            <w:tcW w:w="680" w:type="dxa"/>
            <w:vAlign w:val="center"/>
          </w:tcPr>
          <w:p w14:paraId="3F19AC31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83" w:type="dxa"/>
          </w:tcPr>
          <w:p w14:paraId="56EFAD6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территории, входящие в состав округа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43DC9EA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31BC9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5EB81915" w14:textId="50FDED8C" w:rsidTr="00085731">
        <w:tc>
          <w:tcPr>
            <w:tcW w:w="680" w:type="dxa"/>
            <w:vAlign w:val="center"/>
          </w:tcPr>
          <w:p w14:paraId="0CCACF3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783" w:type="dxa"/>
          </w:tcPr>
          <w:p w14:paraId="5B7B877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р.п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Богородское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пос.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Реммаш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пос.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Загорские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Дали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D09741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F3B2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6DA3473B" w14:textId="5F27B35A" w:rsidTr="00085731">
        <w:tc>
          <w:tcPr>
            <w:tcW w:w="680" w:type="dxa"/>
            <w:vAlign w:val="center"/>
          </w:tcPr>
          <w:p w14:paraId="57A71C5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783" w:type="dxa"/>
          </w:tcPr>
          <w:p w14:paraId="40F6E3B0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р.п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Скоропусковский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ДНП "Красная сторожка", д. Березняки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A89A59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86CA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5763D02D" w14:textId="710DC851" w:rsidTr="00085731">
        <w:tc>
          <w:tcPr>
            <w:tcW w:w="680" w:type="dxa"/>
            <w:vAlign w:val="center"/>
          </w:tcPr>
          <w:p w14:paraId="2BF0A26A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783" w:type="dxa"/>
          </w:tcPr>
          <w:p w14:paraId="4993794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Ивашково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Зубцово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 Гагино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39A0582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AB05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422ECB02" w14:textId="52DC604F" w:rsidTr="00085731">
        <w:tc>
          <w:tcPr>
            <w:tcW w:w="680" w:type="dxa"/>
            <w:vAlign w:val="center"/>
          </w:tcPr>
          <w:p w14:paraId="2B3624A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783" w:type="dxa"/>
          </w:tcPr>
          <w:p w14:paraId="57297130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 Селково, 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Торгашино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Ярыгино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Тарбеево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Костромино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Альферьево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Царевское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Левково</w:t>
            </w:r>
            <w:proofErr w:type="spellEnd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 </w:t>
            </w:r>
            <w:proofErr w:type="spellStart"/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Псарево</w:t>
            </w:r>
            <w:proofErr w:type="spellEnd"/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6BE819B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9AF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1F33DA2A" w14:textId="00B05DD5" w:rsidTr="00085731">
        <w:tc>
          <w:tcPr>
            <w:tcW w:w="680" w:type="dxa"/>
            <w:vAlign w:val="center"/>
          </w:tcPr>
          <w:p w14:paraId="182EE39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783" w:type="dxa"/>
          </w:tcPr>
          <w:p w14:paraId="59DF00B5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деревни, села и хутора, входящие в состав городского округа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5B2B1790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C6A1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3089314D" w14:textId="3C4F4A5A" w:rsidTr="00085731">
        <w:tc>
          <w:tcPr>
            <w:tcW w:w="680" w:type="dxa"/>
            <w:vAlign w:val="center"/>
          </w:tcPr>
          <w:p w14:paraId="2345317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783" w:type="dxa"/>
          </w:tcPr>
          <w:p w14:paraId="30882CAD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поселки, входящие в состав городского округа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7326BF63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43B0B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731" w:rsidRPr="00E2661E" w14:paraId="07DC9278" w14:textId="76B9FD25" w:rsidTr="00085731">
        <w:tc>
          <w:tcPr>
            <w:tcW w:w="680" w:type="dxa"/>
            <w:vAlign w:val="center"/>
          </w:tcPr>
          <w:p w14:paraId="1A352606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783" w:type="dxa"/>
          </w:tcPr>
          <w:p w14:paraId="04007FDC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Иное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14:paraId="2235DFEF" w14:textId="77777777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6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160B6" w14:textId="57FF4903" w:rsidR="00085731" w:rsidRPr="00E2661E" w:rsidRDefault="00085731" w:rsidP="00085731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</w:tbl>
    <w:p w14:paraId="380AAA49" w14:textId="77777777" w:rsidR="00085731" w:rsidRPr="000833C3" w:rsidRDefault="00085731">
      <w:pPr>
        <w:autoSpaceDE w:val="0"/>
        <w:spacing w:after="0"/>
        <w:rPr>
          <w:rFonts w:cs="Times New Roman"/>
          <w:sz w:val="24"/>
          <w:szCs w:val="24"/>
        </w:rPr>
      </w:pPr>
    </w:p>
    <w:sectPr w:rsidR="00085731" w:rsidRPr="000833C3" w:rsidSect="00614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985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6E879" w14:textId="77777777" w:rsidR="009358D3" w:rsidRDefault="009358D3" w:rsidP="00C609FC">
      <w:pPr>
        <w:spacing w:after="0"/>
      </w:pPr>
      <w:r>
        <w:separator/>
      </w:r>
    </w:p>
  </w:endnote>
  <w:endnote w:type="continuationSeparator" w:id="0">
    <w:p w14:paraId="7E8A7C97" w14:textId="77777777" w:rsidR="009358D3" w:rsidRDefault="009358D3" w:rsidP="00C609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265E" w14:textId="77777777" w:rsidR="00614DB2" w:rsidRDefault="00614D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BFCC" w14:textId="5B022FA3" w:rsidR="00614DB2" w:rsidRDefault="00614DB2">
    <w:pPr>
      <w:pStyle w:val="a7"/>
    </w:pPr>
    <w:r>
      <w:t>2038/па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D310C" w14:textId="482F55FA" w:rsidR="00614DB2" w:rsidRDefault="00614DB2">
    <w:pPr>
      <w:pStyle w:val="a7"/>
    </w:pPr>
    <w:r>
      <w:t>2038/па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8412F" w14:textId="77777777" w:rsidR="009358D3" w:rsidRDefault="009358D3" w:rsidP="00C609FC">
      <w:pPr>
        <w:spacing w:after="0"/>
      </w:pPr>
      <w:r>
        <w:separator/>
      </w:r>
    </w:p>
  </w:footnote>
  <w:footnote w:type="continuationSeparator" w:id="0">
    <w:p w14:paraId="51ED4170" w14:textId="77777777" w:rsidR="009358D3" w:rsidRDefault="009358D3" w:rsidP="00C609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5CD3C" w14:textId="77777777" w:rsidR="00614DB2" w:rsidRDefault="00614D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261319"/>
      <w:docPartObj>
        <w:docPartGallery w:val="Page Numbers (Top of Page)"/>
        <w:docPartUnique/>
      </w:docPartObj>
    </w:sdtPr>
    <w:sdtEndPr/>
    <w:sdtContent>
      <w:p w14:paraId="28AD812D" w14:textId="1E00893A" w:rsidR="00B6098C" w:rsidRDefault="00B609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A91">
          <w:rPr>
            <w:noProof/>
          </w:rPr>
          <w:t>4</w:t>
        </w:r>
        <w:r>
          <w:fldChar w:fldCharType="end"/>
        </w:r>
      </w:p>
    </w:sdtContent>
  </w:sdt>
  <w:p w14:paraId="429E1F6F" w14:textId="77777777" w:rsidR="00B6098C" w:rsidRPr="00C609FC" w:rsidRDefault="00B6098C" w:rsidP="00C609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102E7" w14:textId="79117A1C" w:rsidR="00B6098C" w:rsidRDefault="00B6098C">
    <w:pPr>
      <w:pStyle w:val="a5"/>
      <w:jc w:val="center"/>
    </w:pPr>
  </w:p>
  <w:p w14:paraId="31EA43D6" w14:textId="77777777" w:rsidR="00B6098C" w:rsidRDefault="00B609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kern w:val="1"/>
        <w:sz w:val="28"/>
        <w:szCs w:val="28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11507F5"/>
    <w:multiLevelType w:val="hybridMultilevel"/>
    <w:tmpl w:val="BFDE35D4"/>
    <w:lvl w:ilvl="0" w:tplc="5A68DD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CE6A7F"/>
    <w:multiLevelType w:val="multilevel"/>
    <w:tmpl w:val="B9DCCE46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FA7C15"/>
    <w:multiLevelType w:val="hybridMultilevel"/>
    <w:tmpl w:val="8C8E88AC"/>
    <w:lvl w:ilvl="0" w:tplc="DA684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1A5370"/>
    <w:multiLevelType w:val="hybridMultilevel"/>
    <w:tmpl w:val="E74A9FB4"/>
    <w:lvl w:ilvl="0" w:tplc="E28EE996">
      <w:start w:val="4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2E2F0D14"/>
    <w:multiLevelType w:val="hybridMultilevel"/>
    <w:tmpl w:val="A282F2F2"/>
    <w:lvl w:ilvl="0" w:tplc="A10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476567"/>
    <w:multiLevelType w:val="hybridMultilevel"/>
    <w:tmpl w:val="B42A53E4"/>
    <w:lvl w:ilvl="0" w:tplc="6EDA3CA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A9237E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51B570F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DA3DD2"/>
    <w:multiLevelType w:val="hybridMultilevel"/>
    <w:tmpl w:val="FB0C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537FA"/>
    <w:multiLevelType w:val="hybridMultilevel"/>
    <w:tmpl w:val="621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71821"/>
    <w:multiLevelType w:val="hybridMultilevel"/>
    <w:tmpl w:val="BEC06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146302"/>
    <w:multiLevelType w:val="hybridMultilevel"/>
    <w:tmpl w:val="41749298"/>
    <w:lvl w:ilvl="0" w:tplc="E4B46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5453AF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C391108"/>
    <w:multiLevelType w:val="multilevel"/>
    <w:tmpl w:val="82CAF97A"/>
    <w:lvl w:ilvl="0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0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8F"/>
    <w:rsid w:val="00001AD5"/>
    <w:rsid w:val="000059C8"/>
    <w:rsid w:val="00010E46"/>
    <w:rsid w:val="00011542"/>
    <w:rsid w:val="00024838"/>
    <w:rsid w:val="00034339"/>
    <w:rsid w:val="00035499"/>
    <w:rsid w:val="00057509"/>
    <w:rsid w:val="000629F4"/>
    <w:rsid w:val="00062B77"/>
    <w:rsid w:val="000659E5"/>
    <w:rsid w:val="000707A0"/>
    <w:rsid w:val="000727FA"/>
    <w:rsid w:val="000833C3"/>
    <w:rsid w:val="00085731"/>
    <w:rsid w:val="000872D0"/>
    <w:rsid w:val="00092A91"/>
    <w:rsid w:val="000965C8"/>
    <w:rsid w:val="000A2A84"/>
    <w:rsid w:val="000A6509"/>
    <w:rsid w:val="000A6660"/>
    <w:rsid w:val="000B01B0"/>
    <w:rsid w:val="000B3B9B"/>
    <w:rsid w:val="000B3E60"/>
    <w:rsid w:val="000B6FB0"/>
    <w:rsid w:val="000B7469"/>
    <w:rsid w:val="000C2D26"/>
    <w:rsid w:val="000E42BD"/>
    <w:rsid w:val="000E60AD"/>
    <w:rsid w:val="000E6463"/>
    <w:rsid w:val="000F0BA9"/>
    <w:rsid w:val="000F0D5D"/>
    <w:rsid w:val="000F5558"/>
    <w:rsid w:val="000F6140"/>
    <w:rsid w:val="001042F8"/>
    <w:rsid w:val="001054EE"/>
    <w:rsid w:val="00111E4B"/>
    <w:rsid w:val="00135E57"/>
    <w:rsid w:val="00143BB7"/>
    <w:rsid w:val="001506B2"/>
    <w:rsid w:val="00154A41"/>
    <w:rsid w:val="00156DAE"/>
    <w:rsid w:val="00174124"/>
    <w:rsid w:val="001756E2"/>
    <w:rsid w:val="00176DA2"/>
    <w:rsid w:val="00190839"/>
    <w:rsid w:val="001A02E9"/>
    <w:rsid w:val="001B05A0"/>
    <w:rsid w:val="001B0EE6"/>
    <w:rsid w:val="001B20D0"/>
    <w:rsid w:val="001C0A48"/>
    <w:rsid w:val="001C2D12"/>
    <w:rsid w:val="001C7E6D"/>
    <w:rsid w:val="001E74C0"/>
    <w:rsid w:val="001F5781"/>
    <w:rsid w:val="00204495"/>
    <w:rsid w:val="00204C40"/>
    <w:rsid w:val="0021438A"/>
    <w:rsid w:val="00220660"/>
    <w:rsid w:val="00221AE8"/>
    <w:rsid w:val="002230CD"/>
    <w:rsid w:val="00224A08"/>
    <w:rsid w:val="00226AB9"/>
    <w:rsid w:val="00227848"/>
    <w:rsid w:val="002353B3"/>
    <w:rsid w:val="0025376B"/>
    <w:rsid w:val="00267048"/>
    <w:rsid w:val="00267246"/>
    <w:rsid w:val="00271607"/>
    <w:rsid w:val="00271E59"/>
    <w:rsid w:val="00277896"/>
    <w:rsid w:val="00294B1A"/>
    <w:rsid w:val="0029601F"/>
    <w:rsid w:val="002975CB"/>
    <w:rsid w:val="002A3640"/>
    <w:rsid w:val="002A4063"/>
    <w:rsid w:val="002B213A"/>
    <w:rsid w:val="002B5918"/>
    <w:rsid w:val="002C0032"/>
    <w:rsid w:val="002C2204"/>
    <w:rsid w:val="002C394F"/>
    <w:rsid w:val="002C7F4E"/>
    <w:rsid w:val="002D4BEF"/>
    <w:rsid w:val="002D63BC"/>
    <w:rsid w:val="002E13C6"/>
    <w:rsid w:val="002F7895"/>
    <w:rsid w:val="00305B5F"/>
    <w:rsid w:val="003105EA"/>
    <w:rsid w:val="00313845"/>
    <w:rsid w:val="0031587C"/>
    <w:rsid w:val="0033126C"/>
    <w:rsid w:val="00346D6E"/>
    <w:rsid w:val="0035143B"/>
    <w:rsid w:val="003527C9"/>
    <w:rsid w:val="003563A0"/>
    <w:rsid w:val="003641A5"/>
    <w:rsid w:val="00366834"/>
    <w:rsid w:val="00381799"/>
    <w:rsid w:val="00383B4B"/>
    <w:rsid w:val="003851D7"/>
    <w:rsid w:val="00394836"/>
    <w:rsid w:val="003A044D"/>
    <w:rsid w:val="003B1387"/>
    <w:rsid w:val="003B1C48"/>
    <w:rsid w:val="003B68E9"/>
    <w:rsid w:val="003B7C12"/>
    <w:rsid w:val="003D1C33"/>
    <w:rsid w:val="003D675A"/>
    <w:rsid w:val="003E2CE2"/>
    <w:rsid w:val="003E5618"/>
    <w:rsid w:val="003E5862"/>
    <w:rsid w:val="003E74AE"/>
    <w:rsid w:val="003F1C36"/>
    <w:rsid w:val="003F1C40"/>
    <w:rsid w:val="004037CC"/>
    <w:rsid w:val="00410AFE"/>
    <w:rsid w:val="00413D59"/>
    <w:rsid w:val="004163C7"/>
    <w:rsid w:val="004302CE"/>
    <w:rsid w:val="00433D4F"/>
    <w:rsid w:val="004429D7"/>
    <w:rsid w:val="0044744A"/>
    <w:rsid w:val="0045044E"/>
    <w:rsid w:val="00474E53"/>
    <w:rsid w:val="00474F24"/>
    <w:rsid w:val="00477F47"/>
    <w:rsid w:val="00482061"/>
    <w:rsid w:val="00483DAE"/>
    <w:rsid w:val="00484D8F"/>
    <w:rsid w:val="004A1128"/>
    <w:rsid w:val="004A3A23"/>
    <w:rsid w:val="004A45BC"/>
    <w:rsid w:val="004A58A5"/>
    <w:rsid w:val="004B0D45"/>
    <w:rsid w:val="004B228E"/>
    <w:rsid w:val="004B26FA"/>
    <w:rsid w:val="004C3207"/>
    <w:rsid w:val="004C3A45"/>
    <w:rsid w:val="004C57EC"/>
    <w:rsid w:val="004E4B12"/>
    <w:rsid w:val="004E64F8"/>
    <w:rsid w:val="004F00D4"/>
    <w:rsid w:val="004F1054"/>
    <w:rsid w:val="0051233A"/>
    <w:rsid w:val="00512AD8"/>
    <w:rsid w:val="00512F11"/>
    <w:rsid w:val="005177DB"/>
    <w:rsid w:val="00517D9D"/>
    <w:rsid w:val="0052430C"/>
    <w:rsid w:val="005252BE"/>
    <w:rsid w:val="00536FF3"/>
    <w:rsid w:val="00543FA0"/>
    <w:rsid w:val="0054405E"/>
    <w:rsid w:val="005500E1"/>
    <w:rsid w:val="00556E57"/>
    <w:rsid w:val="005627FA"/>
    <w:rsid w:val="00573B73"/>
    <w:rsid w:val="005745E8"/>
    <w:rsid w:val="005759F3"/>
    <w:rsid w:val="0058310D"/>
    <w:rsid w:val="005841DD"/>
    <w:rsid w:val="00584B1D"/>
    <w:rsid w:val="005A0994"/>
    <w:rsid w:val="005C2C38"/>
    <w:rsid w:val="005D37DB"/>
    <w:rsid w:val="005D37EC"/>
    <w:rsid w:val="005D745B"/>
    <w:rsid w:val="005D7EF1"/>
    <w:rsid w:val="005E1689"/>
    <w:rsid w:val="005E4B8D"/>
    <w:rsid w:val="005F4D65"/>
    <w:rsid w:val="005F6470"/>
    <w:rsid w:val="006023A7"/>
    <w:rsid w:val="00603144"/>
    <w:rsid w:val="00605477"/>
    <w:rsid w:val="006103BA"/>
    <w:rsid w:val="00614DB2"/>
    <w:rsid w:val="00624E59"/>
    <w:rsid w:val="00636283"/>
    <w:rsid w:val="006608E5"/>
    <w:rsid w:val="006627D4"/>
    <w:rsid w:val="00664C4D"/>
    <w:rsid w:val="00671F79"/>
    <w:rsid w:val="006730CE"/>
    <w:rsid w:val="0067665F"/>
    <w:rsid w:val="00676DB0"/>
    <w:rsid w:val="00685048"/>
    <w:rsid w:val="006A1AF9"/>
    <w:rsid w:val="006A4849"/>
    <w:rsid w:val="006A6F08"/>
    <w:rsid w:val="006C006B"/>
    <w:rsid w:val="006C0B77"/>
    <w:rsid w:val="006C0ED1"/>
    <w:rsid w:val="006D0DC5"/>
    <w:rsid w:val="006D2318"/>
    <w:rsid w:val="006E2BBA"/>
    <w:rsid w:val="006E484D"/>
    <w:rsid w:val="00703710"/>
    <w:rsid w:val="00710A79"/>
    <w:rsid w:val="00730768"/>
    <w:rsid w:val="00734FEB"/>
    <w:rsid w:val="0073574F"/>
    <w:rsid w:val="00745626"/>
    <w:rsid w:val="007521F5"/>
    <w:rsid w:val="007636DC"/>
    <w:rsid w:val="00766330"/>
    <w:rsid w:val="00772F01"/>
    <w:rsid w:val="0077616B"/>
    <w:rsid w:val="00777500"/>
    <w:rsid w:val="00783791"/>
    <w:rsid w:val="00784A94"/>
    <w:rsid w:val="007910D4"/>
    <w:rsid w:val="00791ED2"/>
    <w:rsid w:val="007928E9"/>
    <w:rsid w:val="0079566E"/>
    <w:rsid w:val="007A3015"/>
    <w:rsid w:val="007A6347"/>
    <w:rsid w:val="007B1FB7"/>
    <w:rsid w:val="007C0DC8"/>
    <w:rsid w:val="007C3C20"/>
    <w:rsid w:val="007F4E01"/>
    <w:rsid w:val="007F586E"/>
    <w:rsid w:val="00815E81"/>
    <w:rsid w:val="00822347"/>
    <w:rsid w:val="008242FF"/>
    <w:rsid w:val="00836A7F"/>
    <w:rsid w:val="00837EBD"/>
    <w:rsid w:val="00840B08"/>
    <w:rsid w:val="008446CD"/>
    <w:rsid w:val="00845D89"/>
    <w:rsid w:val="00852E5C"/>
    <w:rsid w:val="0085787D"/>
    <w:rsid w:val="00860CA8"/>
    <w:rsid w:val="008669D5"/>
    <w:rsid w:val="008703D7"/>
    <w:rsid w:val="00870751"/>
    <w:rsid w:val="00870C85"/>
    <w:rsid w:val="008738FA"/>
    <w:rsid w:val="00873A01"/>
    <w:rsid w:val="00877A67"/>
    <w:rsid w:val="0088199F"/>
    <w:rsid w:val="008874F0"/>
    <w:rsid w:val="00891DD1"/>
    <w:rsid w:val="008C0583"/>
    <w:rsid w:val="008C34D0"/>
    <w:rsid w:val="008C6DFF"/>
    <w:rsid w:val="008D1273"/>
    <w:rsid w:val="008D277C"/>
    <w:rsid w:val="008D3DCD"/>
    <w:rsid w:val="008E0614"/>
    <w:rsid w:val="008E1A89"/>
    <w:rsid w:val="008E5B6B"/>
    <w:rsid w:val="008E7171"/>
    <w:rsid w:val="009060C8"/>
    <w:rsid w:val="00906726"/>
    <w:rsid w:val="00906939"/>
    <w:rsid w:val="00921688"/>
    <w:rsid w:val="00922C48"/>
    <w:rsid w:val="00923F5A"/>
    <w:rsid w:val="009358D3"/>
    <w:rsid w:val="00943B30"/>
    <w:rsid w:val="0094743F"/>
    <w:rsid w:val="009545E1"/>
    <w:rsid w:val="0096208A"/>
    <w:rsid w:val="00964B13"/>
    <w:rsid w:val="00980ADE"/>
    <w:rsid w:val="00991349"/>
    <w:rsid w:val="00992007"/>
    <w:rsid w:val="009937CF"/>
    <w:rsid w:val="009A456C"/>
    <w:rsid w:val="009C34AB"/>
    <w:rsid w:val="009C3D86"/>
    <w:rsid w:val="009D0742"/>
    <w:rsid w:val="009D3BDA"/>
    <w:rsid w:val="009D5090"/>
    <w:rsid w:val="009D7B3B"/>
    <w:rsid w:val="009F24E7"/>
    <w:rsid w:val="009F3B83"/>
    <w:rsid w:val="009F7CC5"/>
    <w:rsid w:val="00A1256C"/>
    <w:rsid w:val="00A12AC3"/>
    <w:rsid w:val="00A34CA7"/>
    <w:rsid w:val="00A41947"/>
    <w:rsid w:val="00A41CE0"/>
    <w:rsid w:val="00A56FAB"/>
    <w:rsid w:val="00A6553F"/>
    <w:rsid w:val="00A65C10"/>
    <w:rsid w:val="00A723FB"/>
    <w:rsid w:val="00A96D02"/>
    <w:rsid w:val="00AA1289"/>
    <w:rsid w:val="00AA1B98"/>
    <w:rsid w:val="00AA755B"/>
    <w:rsid w:val="00AB5860"/>
    <w:rsid w:val="00AC373D"/>
    <w:rsid w:val="00AC492D"/>
    <w:rsid w:val="00AC6B2D"/>
    <w:rsid w:val="00AD12AF"/>
    <w:rsid w:val="00AD4B9A"/>
    <w:rsid w:val="00AE63EF"/>
    <w:rsid w:val="00AE73C8"/>
    <w:rsid w:val="00AE742B"/>
    <w:rsid w:val="00AE76DA"/>
    <w:rsid w:val="00AF5C3E"/>
    <w:rsid w:val="00AF6ECA"/>
    <w:rsid w:val="00B0254B"/>
    <w:rsid w:val="00B144B0"/>
    <w:rsid w:val="00B15E2F"/>
    <w:rsid w:val="00B415BE"/>
    <w:rsid w:val="00B45B78"/>
    <w:rsid w:val="00B50374"/>
    <w:rsid w:val="00B507A4"/>
    <w:rsid w:val="00B6098C"/>
    <w:rsid w:val="00B62F91"/>
    <w:rsid w:val="00B66367"/>
    <w:rsid w:val="00B7788F"/>
    <w:rsid w:val="00B83A74"/>
    <w:rsid w:val="00B84C80"/>
    <w:rsid w:val="00B915B7"/>
    <w:rsid w:val="00BB0157"/>
    <w:rsid w:val="00BC31B4"/>
    <w:rsid w:val="00BD04FA"/>
    <w:rsid w:val="00C10267"/>
    <w:rsid w:val="00C14E7B"/>
    <w:rsid w:val="00C21D3C"/>
    <w:rsid w:val="00C240E6"/>
    <w:rsid w:val="00C259BE"/>
    <w:rsid w:val="00C277D7"/>
    <w:rsid w:val="00C343D5"/>
    <w:rsid w:val="00C3574B"/>
    <w:rsid w:val="00C41582"/>
    <w:rsid w:val="00C43BE8"/>
    <w:rsid w:val="00C54EF4"/>
    <w:rsid w:val="00C609FC"/>
    <w:rsid w:val="00C7278D"/>
    <w:rsid w:val="00C74001"/>
    <w:rsid w:val="00C74A62"/>
    <w:rsid w:val="00C76C68"/>
    <w:rsid w:val="00C81771"/>
    <w:rsid w:val="00C84077"/>
    <w:rsid w:val="00C95E70"/>
    <w:rsid w:val="00C969E9"/>
    <w:rsid w:val="00CA0566"/>
    <w:rsid w:val="00CD0DF2"/>
    <w:rsid w:val="00CD1431"/>
    <w:rsid w:val="00CD74DE"/>
    <w:rsid w:val="00CE5679"/>
    <w:rsid w:val="00CE60A7"/>
    <w:rsid w:val="00CE7174"/>
    <w:rsid w:val="00CF367F"/>
    <w:rsid w:val="00CF3DFC"/>
    <w:rsid w:val="00D0036F"/>
    <w:rsid w:val="00D04F09"/>
    <w:rsid w:val="00D063DF"/>
    <w:rsid w:val="00D17735"/>
    <w:rsid w:val="00D24CEE"/>
    <w:rsid w:val="00D25068"/>
    <w:rsid w:val="00D35D37"/>
    <w:rsid w:val="00D40AE8"/>
    <w:rsid w:val="00D70B6A"/>
    <w:rsid w:val="00D73FC2"/>
    <w:rsid w:val="00DA1F31"/>
    <w:rsid w:val="00DA544D"/>
    <w:rsid w:val="00DB0552"/>
    <w:rsid w:val="00DB3A32"/>
    <w:rsid w:val="00DC45E2"/>
    <w:rsid w:val="00DC5ACC"/>
    <w:rsid w:val="00DC626A"/>
    <w:rsid w:val="00DD5AA0"/>
    <w:rsid w:val="00DE3CB2"/>
    <w:rsid w:val="00DE664D"/>
    <w:rsid w:val="00DF297C"/>
    <w:rsid w:val="00E022C0"/>
    <w:rsid w:val="00E104CC"/>
    <w:rsid w:val="00E12146"/>
    <w:rsid w:val="00E14B61"/>
    <w:rsid w:val="00E2661E"/>
    <w:rsid w:val="00E3022B"/>
    <w:rsid w:val="00E31CB1"/>
    <w:rsid w:val="00E32FAD"/>
    <w:rsid w:val="00E40F01"/>
    <w:rsid w:val="00E428BC"/>
    <w:rsid w:val="00E479C8"/>
    <w:rsid w:val="00E51405"/>
    <w:rsid w:val="00E54B13"/>
    <w:rsid w:val="00E61E3A"/>
    <w:rsid w:val="00E6408A"/>
    <w:rsid w:val="00E64A66"/>
    <w:rsid w:val="00E6549A"/>
    <w:rsid w:val="00E67939"/>
    <w:rsid w:val="00E77427"/>
    <w:rsid w:val="00E77CBE"/>
    <w:rsid w:val="00E815FF"/>
    <w:rsid w:val="00E904BA"/>
    <w:rsid w:val="00EA4E94"/>
    <w:rsid w:val="00EA59DF"/>
    <w:rsid w:val="00EA5DE4"/>
    <w:rsid w:val="00EB711D"/>
    <w:rsid w:val="00EC30AD"/>
    <w:rsid w:val="00EC3FA6"/>
    <w:rsid w:val="00ED121D"/>
    <w:rsid w:val="00ED265E"/>
    <w:rsid w:val="00ED269A"/>
    <w:rsid w:val="00ED28A8"/>
    <w:rsid w:val="00EE4070"/>
    <w:rsid w:val="00F008E3"/>
    <w:rsid w:val="00F01A20"/>
    <w:rsid w:val="00F0383B"/>
    <w:rsid w:val="00F12C76"/>
    <w:rsid w:val="00F136ED"/>
    <w:rsid w:val="00F14748"/>
    <w:rsid w:val="00F159EE"/>
    <w:rsid w:val="00F167C3"/>
    <w:rsid w:val="00F24175"/>
    <w:rsid w:val="00F2655E"/>
    <w:rsid w:val="00F27FE5"/>
    <w:rsid w:val="00F32B83"/>
    <w:rsid w:val="00F4038A"/>
    <w:rsid w:val="00F4051B"/>
    <w:rsid w:val="00F4193D"/>
    <w:rsid w:val="00F4476E"/>
    <w:rsid w:val="00F519CA"/>
    <w:rsid w:val="00F661B8"/>
    <w:rsid w:val="00F66746"/>
    <w:rsid w:val="00F71389"/>
    <w:rsid w:val="00F7291D"/>
    <w:rsid w:val="00F733C3"/>
    <w:rsid w:val="00F81A40"/>
    <w:rsid w:val="00F83F9F"/>
    <w:rsid w:val="00F90B4F"/>
    <w:rsid w:val="00F939EC"/>
    <w:rsid w:val="00F94E4C"/>
    <w:rsid w:val="00F97059"/>
    <w:rsid w:val="00F974D5"/>
    <w:rsid w:val="00FA4E61"/>
    <w:rsid w:val="00FA6591"/>
    <w:rsid w:val="00FB09A4"/>
    <w:rsid w:val="00FB1D1A"/>
    <w:rsid w:val="00FC790A"/>
    <w:rsid w:val="00FC79AB"/>
    <w:rsid w:val="00FE04D1"/>
    <w:rsid w:val="00FE1823"/>
    <w:rsid w:val="00FE2DAA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A87C"/>
  <w15:docId w15:val="{877745CA-9E93-4424-95EC-6FDB1622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C3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7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67048"/>
    <w:pPr>
      <w:ind w:left="720"/>
      <w:contextualSpacing/>
    </w:pPr>
  </w:style>
  <w:style w:type="paragraph" w:customStyle="1" w:styleId="ConsPlusNormal">
    <w:name w:val="ConsPlusNormal"/>
    <w:rsid w:val="00C60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C60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C6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C6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C60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609F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09F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609FC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uiPriority w:val="99"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C609FC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C609FC"/>
    <w:pPr>
      <w:spacing w:after="0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C609F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C609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09FC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09F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0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09F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f0">
    <w:name w:val="footnote reference"/>
    <w:rsid w:val="00C609FC"/>
    <w:rPr>
      <w:vertAlign w:val="superscript"/>
    </w:rPr>
  </w:style>
  <w:style w:type="paragraph" w:styleId="af1">
    <w:name w:val="footnote text"/>
    <w:basedOn w:val="a"/>
    <w:link w:val="af2"/>
    <w:rsid w:val="00C609FC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f2">
    <w:name w:val="Текст сноски Знак"/>
    <w:basedOn w:val="a0"/>
    <w:link w:val="af1"/>
    <w:rsid w:val="00C609FC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table" w:styleId="af3">
    <w:name w:val="Table Grid"/>
    <w:basedOn w:val="a1"/>
    <w:uiPriority w:val="39"/>
    <w:rsid w:val="004C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44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326A-C20B-4E5E-B9EB-46E8D369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2024-07-23T12:18:00Z</cp:lastPrinted>
  <dcterms:created xsi:type="dcterms:W3CDTF">2024-08-27T13:19:00Z</dcterms:created>
  <dcterms:modified xsi:type="dcterms:W3CDTF">2024-08-27T13:19:00Z</dcterms:modified>
</cp:coreProperties>
</file>