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6C" w:rsidRDefault="00345A6C" w:rsidP="00345A6C">
      <w:pPr>
        <w:ind w:left="1555" w:right="19"/>
        <w:rPr>
          <w:sz w:val="20"/>
          <w:szCs w:val="20"/>
        </w:rPr>
      </w:pPr>
    </w:p>
    <w:p w:rsidR="00AB080E" w:rsidRPr="00AB080E" w:rsidRDefault="00AB080E" w:rsidP="00AB080E">
      <w:pPr>
        <w:autoSpaceDE w:val="0"/>
        <w:autoSpaceDN w:val="0"/>
        <w:adjustRightInd w:val="0"/>
        <w:ind w:left="7080" w:firstLine="708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Приложение № 1</w:t>
      </w:r>
    </w:p>
    <w:p w:rsidR="00AB080E" w:rsidRDefault="00AB080E" w:rsidP="00AB080E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AB080E" w:rsidRDefault="00AB080E" w:rsidP="00AB080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B080E">
        <w:rPr>
          <w:b/>
          <w:bCs/>
          <w:color w:val="000000"/>
          <w:sz w:val="28"/>
          <w:szCs w:val="28"/>
        </w:rPr>
        <w:t xml:space="preserve">Памятка и критерии самооценки для компаний – субъектов малого </w:t>
      </w:r>
      <w:r w:rsidR="00AA4F7C">
        <w:rPr>
          <w:b/>
          <w:bCs/>
          <w:color w:val="000000"/>
          <w:sz w:val="28"/>
          <w:szCs w:val="28"/>
        </w:rPr>
        <w:br/>
      </w:r>
      <w:r w:rsidRPr="00AB080E">
        <w:rPr>
          <w:b/>
          <w:bCs/>
          <w:color w:val="000000"/>
          <w:sz w:val="28"/>
          <w:szCs w:val="28"/>
        </w:rPr>
        <w:t>и</w:t>
      </w:r>
      <w:r w:rsidR="00AA4F7C">
        <w:rPr>
          <w:b/>
          <w:bCs/>
          <w:color w:val="000000"/>
          <w:sz w:val="28"/>
          <w:szCs w:val="28"/>
        </w:rPr>
        <w:t xml:space="preserve"> </w:t>
      </w:r>
      <w:r w:rsidRPr="00AB080E">
        <w:rPr>
          <w:b/>
          <w:bCs/>
          <w:color w:val="000000"/>
          <w:sz w:val="28"/>
          <w:szCs w:val="28"/>
        </w:rPr>
        <w:t>среднего предпринимательства</w:t>
      </w:r>
    </w:p>
    <w:p w:rsidR="00AB080E" w:rsidRPr="00AB080E" w:rsidRDefault="00AB080E" w:rsidP="00AB080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AB080E" w:rsidRPr="00AB080E" w:rsidRDefault="00AB080E" w:rsidP="00AB08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B080E">
        <w:rPr>
          <w:rFonts w:eastAsia="SymbolMT"/>
          <w:color w:val="000000"/>
          <w:sz w:val="28"/>
          <w:szCs w:val="28"/>
        </w:rPr>
        <w:t></w:t>
      </w:r>
      <w:r>
        <w:rPr>
          <w:rFonts w:eastAsia="SymbolMT"/>
          <w:color w:val="000000"/>
          <w:sz w:val="28"/>
          <w:szCs w:val="28"/>
        </w:rPr>
        <w:tab/>
      </w:r>
      <w:r w:rsidRPr="00AB080E">
        <w:rPr>
          <w:color w:val="000000"/>
          <w:sz w:val="28"/>
          <w:szCs w:val="28"/>
        </w:rPr>
        <w:t>Памятка и критерии самооценки для компаний представляют собой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инструмент для проведения первичной самооценки компаниями –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субъектами малого и среднего предпринимательства (далее – Критерии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самооценки, МСП).</w:t>
      </w:r>
    </w:p>
    <w:p w:rsidR="00AB080E" w:rsidRPr="00AB080E" w:rsidRDefault="00AB080E" w:rsidP="00AB08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B080E">
        <w:rPr>
          <w:rFonts w:eastAsia="SymbolMT"/>
          <w:color w:val="000000"/>
          <w:sz w:val="28"/>
          <w:szCs w:val="28"/>
        </w:rPr>
        <w:t xml:space="preserve"> </w:t>
      </w:r>
      <w:r>
        <w:rPr>
          <w:rFonts w:eastAsia="SymbolMT"/>
          <w:color w:val="000000"/>
          <w:sz w:val="28"/>
          <w:szCs w:val="28"/>
        </w:rPr>
        <w:tab/>
      </w:r>
      <w:r w:rsidRPr="00AB080E">
        <w:rPr>
          <w:color w:val="000000"/>
          <w:sz w:val="28"/>
          <w:szCs w:val="28"/>
        </w:rPr>
        <w:t>Самооценка компанией является первым этапом и не гарантирует выход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компаний на фондовый рынок.</w:t>
      </w:r>
    </w:p>
    <w:p w:rsidR="00AB080E" w:rsidRPr="00AB080E" w:rsidRDefault="00AB080E" w:rsidP="00AB08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B080E">
        <w:rPr>
          <w:rFonts w:eastAsia="SymbolMT"/>
          <w:color w:val="000000"/>
          <w:sz w:val="28"/>
          <w:szCs w:val="28"/>
        </w:rPr>
        <w:t xml:space="preserve"> </w:t>
      </w:r>
      <w:r>
        <w:rPr>
          <w:rFonts w:eastAsia="SymbolMT"/>
          <w:color w:val="000000"/>
          <w:sz w:val="28"/>
          <w:szCs w:val="28"/>
        </w:rPr>
        <w:tab/>
      </w:r>
      <w:r w:rsidRPr="00AB080E">
        <w:rPr>
          <w:color w:val="000000"/>
          <w:sz w:val="28"/>
          <w:szCs w:val="28"/>
        </w:rPr>
        <w:t>Компаниям рекомендуется осуществлять предварительную самооценку,</w:t>
      </w:r>
    </w:p>
    <w:p w:rsidR="00AB080E" w:rsidRPr="00AB080E" w:rsidRDefault="00AB080E" w:rsidP="00AB08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AB080E">
        <w:rPr>
          <w:color w:val="000000"/>
          <w:sz w:val="28"/>
          <w:szCs w:val="28"/>
        </w:rPr>
        <w:t>изложенную</w:t>
      </w:r>
      <w:proofErr w:type="gramEnd"/>
      <w:r w:rsidRPr="00AB080E">
        <w:rPr>
          <w:color w:val="000000"/>
          <w:sz w:val="28"/>
          <w:szCs w:val="28"/>
        </w:rPr>
        <w:t xml:space="preserve"> в разделе «Критерии самооценки компаний».</w:t>
      </w:r>
    </w:p>
    <w:p w:rsidR="00AB080E" w:rsidRPr="00AB080E" w:rsidRDefault="00AB080E" w:rsidP="00AB08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B080E">
        <w:rPr>
          <w:rFonts w:eastAsia="SymbolMT"/>
          <w:color w:val="000000"/>
          <w:sz w:val="28"/>
          <w:szCs w:val="28"/>
        </w:rPr>
        <w:t xml:space="preserve"> </w:t>
      </w:r>
      <w:r>
        <w:rPr>
          <w:rFonts w:eastAsia="SymbolMT"/>
          <w:color w:val="000000"/>
          <w:sz w:val="28"/>
          <w:szCs w:val="28"/>
        </w:rPr>
        <w:tab/>
      </w:r>
      <w:r w:rsidRPr="00AB080E">
        <w:rPr>
          <w:color w:val="000000"/>
          <w:sz w:val="28"/>
          <w:szCs w:val="28"/>
        </w:rPr>
        <w:t>В случае соответствия компании критериям самооценки, компании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рекомендуется обратиться для консультирования к одному из брокеров –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организаторов размещения облигаций. Список брокеров можно найти на</w:t>
      </w:r>
      <w:r w:rsidR="00AA4F7C"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сайте:</w:t>
      </w:r>
    </w:p>
    <w:p w:rsidR="00AB080E" w:rsidRPr="00AB080E" w:rsidRDefault="00AB080E" w:rsidP="00AB080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 xml:space="preserve">a. Банка России </w:t>
      </w:r>
      <w:r w:rsidRPr="00AB080E">
        <w:rPr>
          <w:color w:val="0563C2"/>
          <w:sz w:val="28"/>
          <w:szCs w:val="28"/>
        </w:rPr>
        <w:t>http://www.cbr.ru/finmarket/registries/</w:t>
      </w:r>
      <w:r w:rsidRPr="00AB080E">
        <w:rPr>
          <w:color w:val="000000"/>
          <w:sz w:val="28"/>
          <w:szCs w:val="28"/>
        </w:rPr>
        <w:t>,</w:t>
      </w:r>
    </w:p>
    <w:p w:rsidR="00AB080E" w:rsidRPr="00AB080E" w:rsidRDefault="00AB080E" w:rsidP="00AB080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 xml:space="preserve">b. СРО «Национальная финансовая ассоциация» </w:t>
      </w:r>
      <w:r w:rsidRPr="00AB080E">
        <w:rPr>
          <w:color w:val="0563C2"/>
          <w:sz w:val="28"/>
          <w:szCs w:val="28"/>
        </w:rPr>
        <w:t>new.nfa.ru1</w:t>
      </w:r>
      <w:r w:rsidRPr="00AB080E">
        <w:rPr>
          <w:color w:val="000000"/>
          <w:sz w:val="28"/>
          <w:szCs w:val="28"/>
        </w:rPr>
        <w:t>,</w:t>
      </w:r>
    </w:p>
    <w:p w:rsidR="00AB080E" w:rsidRPr="00AB080E" w:rsidRDefault="00AB080E" w:rsidP="00AB080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c. СРО «Национальная ассоциация участников фондового рынка»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563C2"/>
          <w:sz w:val="28"/>
          <w:szCs w:val="28"/>
        </w:rPr>
        <w:t>https:/naufor.ru</w:t>
      </w:r>
      <w:r w:rsidRPr="00AB080E">
        <w:rPr>
          <w:color w:val="000000"/>
          <w:sz w:val="28"/>
          <w:szCs w:val="28"/>
        </w:rPr>
        <w:t>1,</w:t>
      </w:r>
    </w:p>
    <w:p w:rsidR="00AB080E" w:rsidRPr="00AB080E" w:rsidRDefault="00AB080E" w:rsidP="00AB080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Также можно обратиться напрямую на биржу, как торговую площадку,</w:t>
      </w:r>
    </w:p>
    <w:p w:rsidR="00AB080E" w:rsidRPr="00AB080E" w:rsidRDefault="00AB080E" w:rsidP="00AB08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AB080E">
        <w:rPr>
          <w:color w:val="000000"/>
          <w:sz w:val="28"/>
          <w:szCs w:val="28"/>
        </w:rPr>
        <w:t>организующую</w:t>
      </w:r>
      <w:proofErr w:type="gramEnd"/>
      <w:r w:rsidRPr="00AB080E">
        <w:rPr>
          <w:color w:val="000000"/>
          <w:sz w:val="28"/>
          <w:szCs w:val="28"/>
        </w:rPr>
        <w:t xml:space="preserve"> размещение и торги облигациями:</w:t>
      </w:r>
    </w:p>
    <w:p w:rsidR="00AB080E" w:rsidRPr="00AB080E" w:rsidRDefault="00AB080E" w:rsidP="00AB080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 xml:space="preserve">d. ПАО Московская Биржа </w:t>
      </w:r>
      <w:r w:rsidRPr="00AB080E">
        <w:rPr>
          <w:color w:val="0563C2"/>
          <w:sz w:val="28"/>
          <w:szCs w:val="28"/>
        </w:rPr>
        <w:t>rost@moex.com</w:t>
      </w:r>
      <w:r w:rsidRPr="00AB080E">
        <w:rPr>
          <w:color w:val="000000"/>
          <w:sz w:val="28"/>
          <w:szCs w:val="28"/>
        </w:rPr>
        <w:t>,</w:t>
      </w:r>
    </w:p>
    <w:p w:rsidR="00AB080E" w:rsidRPr="00AB080E" w:rsidRDefault="00AB080E" w:rsidP="00AB080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e. ПАО «Санкт-Петербургская биржа» тел. +7 (495) 899-01-70-70.</w:t>
      </w:r>
    </w:p>
    <w:p w:rsidR="00AB080E" w:rsidRPr="00AB080E" w:rsidRDefault="00AB080E" w:rsidP="00AB080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B080E">
        <w:rPr>
          <w:b/>
          <w:bCs/>
          <w:color w:val="000000"/>
          <w:sz w:val="28"/>
          <w:szCs w:val="28"/>
        </w:rPr>
        <w:t>Критерии самооценки компаний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1. Компания является субъектом МСП, что подтверждается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наличием сведений о ней в едином реестре субъектов малого и среднего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 xml:space="preserve">предпринимательства </w:t>
      </w:r>
      <w:r w:rsidRPr="00AB080E">
        <w:rPr>
          <w:color w:val="0563C2"/>
          <w:sz w:val="28"/>
          <w:szCs w:val="28"/>
        </w:rPr>
        <w:t xml:space="preserve">https://rmsp.nalog.ru/ </w:t>
      </w:r>
      <w:r w:rsidRPr="00AB080E">
        <w:rPr>
          <w:color w:val="000000"/>
          <w:sz w:val="28"/>
          <w:szCs w:val="28"/>
        </w:rPr>
        <w:t>на последнюю доступную дату.</w:t>
      </w:r>
    </w:p>
    <w:p w:rsid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2. В видах деятельности компании отсутствуют такие виды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деятельности, как производство и (или) реализация подакцизных товаров;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добыча и (или) реализация полезных ископаемых, за исключением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 xml:space="preserve">общераспространенных полезных ископаемых. 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Компания не является: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 xml:space="preserve">кредитной организацией, страховой организацией и </w:t>
      </w:r>
      <w:proofErr w:type="spellStart"/>
      <w:r w:rsidRPr="00AB080E">
        <w:rPr>
          <w:color w:val="000000"/>
          <w:sz w:val="28"/>
          <w:szCs w:val="28"/>
        </w:rPr>
        <w:t>микрофинансовой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организацией (за исключением потребительских кооперативов),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инвестиционным фондом, негосударственным пенсионным фондом,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профессиональным участником рынка ценных бумаг, ломбардом; участником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соглашений о разделе продукции; организацией, осуществляющей</w:t>
      </w:r>
    </w:p>
    <w:p w:rsidR="00AB080E" w:rsidRPr="00AB080E" w:rsidRDefault="00AB080E" w:rsidP="00AB08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предпринимательскую деятельность в сфере игорного бизнеса.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3. Срок «жизни» компании составляет не менее 3 лет. Параметр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проверяется по дате регистрации компании (дату можно проверить в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учредительных документах, либо в выписке из единого государственного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реестра юридических лиц (ЕГРЮЛ</w:t>
      </w:r>
      <w:r w:rsidRPr="00AB080E">
        <w:rPr>
          <w:b/>
          <w:bCs/>
          <w:color w:val="000000"/>
          <w:sz w:val="28"/>
          <w:szCs w:val="28"/>
        </w:rPr>
        <w:t xml:space="preserve">) </w:t>
      </w:r>
      <w:r w:rsidRPr="00AB080E">
        <w:rPr>
          <w:color w:val="0563C2"/>
          <w:sz w:val="28"/>
          <w:szCs w:val="28"/>
        </w:rPr>
        <w:t>https://egrul.nalog.ru/</w:t>
      </w:r>
      <w:r w:rsidRPr="00AB080E">
        <w:rPr>
          <w:color w:val="000000"/>
          <w:sz w:val="28"/>
          <w:szCs w:val="28"/>
        </w:rPr>
        <w:t>).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563C2"/>
          <w:sz w:val="28"/>
          <w:szCs w:val="28"/>
        </w:rPr>
      </w:pPr>
      <w:r w:rsidRPr="00AB080E">
        <w:rPr>
          <w:color w:val="000000"/>
          <w:sz w:val="28"/>
          <w:szCs w:val="28"/>
        </w:rPr>
        <w:t>4. Компания не находится в состоянии ликвидации или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реорганизации. Проверку параметра можно осуществить с помощью сервиса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Федеральной налоговой службы «Сообщения юридических лиц,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опубликованные в журнале «Вестник государственной регистрации» по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 xml:space="preserve">адресу: </w:t>
      </w:r>
      <w:r w:rsidRPr="00AB080E">
        <w:rPr>
          <w:color w:val="0563C2"/>
          <w:sz w:val="28"/>
          <w:szCs w:val="28"/>
        </w:rPr>
        <w:t>https://www.vestnik-gosreg.ru/publ/vgr</w:t>
      </w:r>
      <w:r>
        <w:rPr>
          <w:color w:val="0563C2"/>
          <w:sz w:val="28"/>
          <w:szCs w:val="28"/>
        </w:rPr>
        <w:t>.</w:t>
      </w:r>
    </w:p>
    <w:p w:rsid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AA4F7C" w:rsidRDefault="00AA4F7C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lastRenderedPageBreak/>
        <w:t>5. У компании отсутствует задолженность по уплате налогов.</w:t>
      </w:r>
    </w:p>
    <w:p w:rsidR="00AB080E" w:rsidRPr="00AB080E" w:rsidRDefault="00AB080E" w:rsidP="00AB080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Проверку параметра можно осуществить с помощью сервиса Федеральной</w:t>
      </w:r>
    </w:p>
    <w:p w:rsidR="00AB080E" w:rsidRPr="00AB080E" w:rsidRDefault="00AB080E" w:rsidP="00AB080E">
      <w:pPr>
        <w:autoSpaceDE w:val="0"/>
        <w:autoSpaceDN w:val="0"/>
        <w:adjustRightInd w:val="0"/>
        <w:jc w:val="both"/>
        <w:rPr>
          <w:color w:val="0563C2"/>
          <w:sz w:val="28"/>
          <w:szCs w:val="28"/>
        </w:rPr>
      </w:pPr>
      <w:r w:rsidRPr="00AB080E">
        <w:rPr>
          <w:color w:val="000000"/>
          <w:sz w:val="28"/>
          <w:szCs w:val="28"/>
        </w:rPr>
        <w:t xml:space="preserve">налоговой службы: </w:t>
      </w:r>
      <w:r w:rsidRPr="00AB080E">
        <w:rPr>
          <w:color w:val="0563C2"/>
          <w:sz w:val="28"/>
          <w:szCs w:val="28"/>
        </w:rPr>
        <w:t>https://service.nalog.ru/zd.do</w:t>
      </w:r>
      <w:r>
        <w:rPr>
          <w:color w:val="0563C2"/>
          <w:sz w:val="28"/>
          <w:szCs w:val="28"/>
        </w:rPr>
        <w:t>.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563C2"/>
          <w:sz w:val="28"/>
          <w:szCs w:val="28"/>
        </w:rPr>
      </w:pPr>
      <w:r w:rsidRPr="00AB080E">
        <w:rPr>
          <w:color w:val="000000"/>
          <w:sz w:val="28"/>
          <w:szCs w:val="28"/>
        </w:rPr>
        <w:t>6. Руководители компании не дисквалифицированы, адрес компании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не фигурирует в адресах массовой регистрации компаний. Проверку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параметра можно осуществить с помощью сервиса Федеральной налоговой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 xml:space="preserve">службы «Прозрачный бизнес»: </w:t>
      </w:r>
      <w:r w:rsidRPr="00AB080E">
        <w:rPr>
          <w:color w:val="0563C2"/>
          <w:sz w:val="28"/>
          <w:szCs w:val="28"/>
        </w:rPr>
        <w:t>https://pb.nalog.ru</w:t>
      </w:r>
      <w:r>
        <w:rPr>
          <w:color w:val="0563C2"/>
          <w:sz w:val="28"/>
          <w:szCs w:val="28"/>
        </w:rPr>
        <w:t>.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563C2"/>
          <w:sz w:val="28"/>
          <w:szCs w:val="28"/>
        </w:rPr>
      </w:pPr>
      <w:r w:rsidRPr="00AB080E">
        <w:rPr>
          <w:color w:val="000000"/>
          <w:sz w:val="28"/>
          <w:szCs w:val="28"/>
        </w:rPr>
        <w:t>7. Компания не является зависимой компанией государственной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компании. Параметр подтверждается учредительными документами, сведения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можно проверить сервисом единого государственного реестра юридических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 xml:space="preserve">лиц </w:t>
      </w:r>
      <w:r w:rsidRPr="00AB080E">
        <w:rPr>
          <w:color w:val="0563C2"/>
          <w:sz w:val="28"/>
          <w:szCs w:val="28"/>
        </w:rPr>
        <w:t>http://egrul.nalog.ru/index.html</w:t>
      </w:r>
      <w:r>
        <w:rPr>
          <w:color w:val="0563C2"/>
          <w:sz w:val="28"/>
          <w:szCs w:val="28"/>
        </w:rPr>
        <w:t>.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8. У компании отсутствует отрицательная кредитная история, в том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числе, нет просроченных платежей по кредитам свыше 30 дней в течение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 xml:space="preserve">последних </w:t>
      </w:r>
      <w:r>
        <w:rPr>
          <w:color w:val="000000"/>
          <w:sz w:val="28"/>
          <w:szCs w:val="28"/>
        </w:rPr>
        <w:br/>
      </w:r>
      <w:r w:rsidRPr="00AB080E">
        <w:rPr>
          <w:color w:val="000000"/>
          <w:sz w:val="28"/>
          <w:szCs w:val="28"/>
        </w:rPr>
        <w:t>180 календарных дней. Проверяется запросом в Бюро кредитных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историй.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9. Выручка за предыдущий календарный год составляет от 120 млн.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рублей до 2 млрд. рублей. Выручка определяется по форме «Отчет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о финансовых результатах» за последний календарный год, строка 2110.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10. Средний темп прироста выручки за последние три года составляет</w:t>
      </w:r>
    </w:p>
    <w:p w:rsidR="00AB080E" w:rsidRPr="00AB080E" w:rsidRDefault="00AB080E" w:rsidP="00AB08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не менее 10%. Средний темп прироста выручки (СТПВ) за последние три года</w:t>
      </w:r>
    </w:p>
    <w:p w:rsidR="00AB080E" w:rsidRPr="00AB080E" w:rsidRDefault="00AB080E" w:rsidP="00AB080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считается по формуле: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СТПВ = (ПВ3 / ПВ</w:t>
      </w:r>
      <w:proofErr w:type="gramStart"/>
      <w:r w:rsidRPr="00AB080E">
        <w:rPr>
          <w:color w:val="000000"/>
          <w:sz w:val="28"/>
          <w:szCs w:val="28"/>
        </w:rPr>
        <w:t>1</w:t>
      </w:r>
      <w:proofErr w:type="gramEnd"/>
      <w:r w:rsidRPr="00AB080E">
        <w:rPr>
          <w:color w:val="000000"/>
          <w:sz w:val="28"/>
          <w:szCs w:val="28"/>
        </w:rPr>
        <w:t>)1/3 – 1, где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 xml:space="preserve">ПВ1 – прирост выручки </w:t>
      </w:r>
      <w:r w:rsidR="00BD6FF9">
        <w:rPr>
          <w:color w:val="000000"/>
          <w:sz w:val="28"/>
          <w:szCs w:val="28"/>
        </w:rPr>
        <w:br/>
      </w:r>
      <w:r w:rsidRPr="00AB080E">
        <w:rPr>
          <w:color w:val="000000"/>
          <w:sz w:val="28"/>
          <w:szCs w:val="28"/>
        </w:rPr>
        <w:t>за первый год из трех анализируемых, например,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за 2016 год, ПВ3 – прирост выручки за последний год из трех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анализируемых, например, за 2018 год.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Прирост выручки определяется по форме «Отчет о финансовых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результатах», строка 2110.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11. Безубыточная деятельность в течение последних 3 лет. Чистая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прибыль (убыток) определяется по форме «Отчет о финансовых результатах»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за последние три года, строка 2400. Значение в строке 2400 должно быть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положительным – отражаться без скобок.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12. Рекомендуемая рентабельность бизнеса не менее 15% (за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 xml:space="preserve">последний год и средняя за 3 </w:t>
      </w:r>
      <w:proofErr w:type="gramStart"/>
      <w:r w:rsidRPr="00AB080E">
        <w:rPr>
          <w:color w:val="000000"/>
          <w:sz w:val="28"/>
          <w:szCs w:val="28"/>
        </w:rPr>
        <w:t>последних</w:t>
      </w:r>
      <w:proofErr w:type="gramEnd"/>
      <w:r w:rsidRPr="00AB080E">
        <w:rPr>
          <w:color w:val="000000"/>
          <w:sz w:val="28"/>
          <w:szCs w:val="28"/>
        </w:rPr>
        <w:t xml:space="preserve"> года). Рентабельность бизнеса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рассчитывается по формуле: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 xml:space="preserve">Рентабельность = (Прибыль до налогообложения / Выручка) * 100%, </w:t>
      </w:r>
      <w:r>
        <w:rPr>
          <w:color w:val="000000"/>
          <w:sz w:val="28"/>
          <w:szCs w:val="28"/>
        </w:rPr>
        <w:br/>
      </w:r>
      <w:r w:rsidRPr="00AB080E">
        <w:rPr>
          <w:color w:val="000000"/>
          <w:sz w:val="28"/>
          <w:szCs w:val="28"/>
        </w:rPr>
        <w:t>где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Прибыль до налогообложения – строка 2300 формы «Отчет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о финансовых результатах» за календарный год,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 xml:space="preserve">Выручка – строка 2110 формы «Отчет </w:t>
      </w:r>
      <w:r w:rsidR="00BD6FF9">
        <w:rPr>
          <w:color w:val="000000"/>
          <w:sz w:val="28"/>
          <w:szCs w:val="28"/>
        </w:rPr>
        <w:br/>
      </w:r>
      <w:r w:rsidRPr="00AB080E">
        <w:rPr>
          <w:color w:val="000000"/>
          <w:sz w:val="28"/>
          <w:szCs w:val="28"/>
        </w:rPr>
        <w:t>о финансовых результатах»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за календарный год.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13. Планируемый объем выпуска облигаций – от 100 млн. до 1 млрд</w:t>
      </w:r>
      <w:r w:rsidR="00BD6F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рублей.</w:t>
      </w:r>
    </w:p>
    <w:p w:rsidR="00AB080E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AB080E">
        <w:rPr>
          <w:color w:val="000000"/>
          <w:sz w:val="28"/>
          <w:szCs w:val="28"/>
        </w:rPr>
        <w:t>14. Срок привлечения средств – не менее 1 года и не более 3 лет.</w:t>
      </w:r>
    </w:p>
    <w:p w:rsidR="00345A6C" w:rsidRPr="00AB080E" w:rsidRDefault="00AB080E" w:rsidP="00AB080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B080E">
        <w:rPr>
          <w:color w:val="000000"/>
          <w:sz w:val="28"/>
          <w:szCs w:val="28"/>
        </w:rPr>
        <w:t>15. Объем планируемого годового погашения облигаций (основной</w:t>
      </w:r>
      <w:r>
        <w:rPr>
          <w:color w:val="000000"/>
          <w:sz w:val="28"/>
          <w:szCs w:val="28"/>
        </w:rPr>
        <w:t xml:space="preserve"> </w:t>
      </w:r>
      <w:r w:rsidRPr="00AB080E">
        <w:rPr>
          <w:color w:val="000000"/>
          <w:sz w:val="28"/>
          <w:szCs w:val="28"/>
        </w:rPr>
        <w:t>долг и процентные платежи) должен быть меньше годовой прибыли (средней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AB080E">
        <w:rPr>
          <w:color w:val="000000"/>
          <w:sz w:val="28"/>
          <w:szCs w:val="28"/>
        </w:rPr>
        <w:t>за последние три года, строка 2400).</w:t>
      </w:r>
    </w:p>
    <w:sectPr w:rsidR="00345A6C" w:rsidRPr="00AB080E" w:rsidSect="00855FF3">
      <w:headerReference w:type="even" r:id="rId9"/>
      <w:type w:val="continuous"/>
      <w:pgSz w:w="11907" w:h="16840" w:code="9"/>
      <w:pgMar w:top="709" w:right="850" w:bottom="426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F70" w:rsidRDefault="00504F70">
      <w:r>
        <w:separator/>
      </w:r>
    </w:p>
  </w:endnote>
  <w:endnote w:type="continuationSeparator" w:id="0">
    <w:p w:rsidR="00504F70" w:rsidRDefault="0050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F70" w:rsidRDefault="00504F70">
      <w:r>
        <w:separator/>
      </w:r>
    </w:p>
  </w:footnote>
  <w:footnote w:type="continuationSeparator" w:id="0">
    <w:p w:rsidR="00504F70" w:rsidRDefault="00504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8" w:rsidRDefault="0021384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C5B6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5B68">
      <w:rPr>
        <w:rStyle w:val="a8"/>
        <w:noProof/>
      </w:rPr>
      <w:t>1</w:t>
    </w:r>
    <w:r>
      <w:rPr>
        <w:rStyle w:val="a8"/>
      </w:rPr>
      <w:fldChar w:fldCharType="end"/>
    </w:r>
  </w:p>
  <w:p w:rsidR="005C5B68" w:rsidRDefault="005C5B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9D4602B"/>
    <w:multiLevelType w:val="hybridMultilevel"/>
    <w:tmpl w:val="84F09580"/>
    <w:lvl w:ilvl="0" w:tplc="D75A47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A61"/>
    <w:rsid w:val="0000519C"/>
    <w:rsid w:val="000104DF"/>
    <w:rsid w:val="00010604"/>
    <w:rsid w:val="00022B15"/>
    <w:rsid w:val="000322A6"/>
    <w:rsid w:val="00037E41"/>
    <w:rsid w:val="0004322E"/>
    <w:rsid w:val="00055154"/>
    <w:rsid w:val="000603FD"/>
    <w:rsid w:val="0008044E"/>
    <w:rsid w:val="00086A5D"/>
    <w:rsid w:val="00093001"/>
    <w:rsid w:val="000A08FE"/>
    <w:rsid w:val="000A2A61"/>
    <w:rsid w:val="000B1DC4"/>
    <w:rsid w:val="000B4220"/>
    <w:rsid w:val="000B70C4"/>
    <w:rsid w:val="000D2AB2"/>
    <w:rsid w:val="000E0746"/>
    <w:rsid w:val="000E163D"/>
    <w:rsid w:val="000F0F55"/>
    <w:rsid w:val="000F64AE"/>
    <w:rsid w:val="001076D9"/>
    <w:rsid w:val="00107E18"/>
    <w:rsid w:val="0011209E"/>
    <w:rsid w:val="00112EA7"/>
    <w:rsid w:val="00115F75"/>
    <w:rsid w:val="0011717C"/>
    <w:rsid w:val="001236F6"/>
    <w:rsid w:val="0013341A"/>
    <w:rsid w:val="00140F24"/>
    <w:rsid w:val="00141615"/>
    <w:rsid w:val="0014274B"/>
    <w:rsid w:val="00143D51"/>
    <w:rsid w:val="001547BF"/>
    <w:rsid w:val="00154BF9"/>
    <w:rsid w:val="001621CC"/>
    <w:rsid w:val="00166BD5"/>
    <w:rsid w:val="001725FA"/>
    <w:rsid w:val="0017282C"/>
    <w:rsid w:val="00184F0D"/>
    <w:rsid w:val="0019796A"/>
    <w:rsid w:val="001A22CA"/>
    <w:rsid w:val="001A39D7"/>
    <w:rsid w:val="001A7C33"/>
    <w:rsid w:val="001B6013"/>
    <w:rsid w:val="001C1CE2"/>
    <w:rsid w:val="001C1FC4"/>
    <w:rsid w:val="001D1FF2"/>
    <w:rsid w:val="001E0DB9"/>
    <w:rsid w:val="001E2E0A"/>
    <w:rsid w:val="001F2AF6"/>
    <w:rsid w:val="00202305"/>
    <w:rsid w:val="00213844"/>
    <w:rsid w:val="0022033D"/>
    <w:rsid w:val="0022081D"/>
    <w:rsid w:val="00224B17"/>
    <w:rsid w:val="0022631C"/>
    <w:rsid w:val="002279D0"/>
    <w:rsid w:val="00233E3C"/>
    <w:rsid w:val="00237C7C"/>
    <w:rsid w:val="002424DB"/>
    <w:rsid w:val="00250D5A"/>
    <w:rsid w:val="00257F07"/>
    <w:rsid w:val="00262469"/>
    <w:rsid w:val="00262DA8"/>
    <w:rsid w:val="00264368"/>
    <w:rsid w:val="002673D0"/>
    <w:rsid w:val="00273FF0"/>
    <w:rsid w:val="00283193"/>
    <w:rsid w:val="0028767C"/>
    <w:rsid w:val="002A151A"/>
    <w:rsid w:val="002A345C"/>
    <w:rsid w:val="002B0159"/>
    <w:rsid w:val="002B1179"/>
    <w:rsid w:val="002B3E0F"/>
    <w:rsid w:val="002B58F4"/>
    <w:rsid w:val="002C04D5"/>
    <w:rsid w:val="002C4890"/>
    <w:rsid w:val="002E1FBD"/>
    <w:rsid w:val="002E6631"/>
    <w:rsid w:val="002E6FFE"/>
    <w:rsid w:val="002F0583"/>
    <w:rsid w:val="002F28AE"/>
    <w:rsid w:val="002F5E3B"/>
    <w:rsid w:val="0030447F"/>
    <w:rsid w:val="00310E5C"/>
    <w:rsid w:val="003157E8"/>
    <w:rsid w:val="0032529C"/>
    <w:rsid w:val="003278FD"/>
    <w:rsid w:val="0033668C"/>
    <w:rsid w:val="00345A6C"/>
    <w:rsid w:val="003622EA"/>
    <w:rsid w:val="00365AE0"/>
    <w:rsid w:val="003873F3"/>
    <w:rsid w:val="003875A9"/>
    <w:rsid w:val="00387697"/>
    <w:rsid w:val="00390E1B"/>
    <w:rsid w:val="003971A4"/>
    <w:rsid w:val="003A3D43"/>
    <w:rsid w:val="003A3EB6"/>
    <w:rsid w:val="003B2C30"/>
    <w:rsid w:val="003B2C63"/>
    <w:rsid w:val="003C0724"/>
    <w:rsid w:val="003D41D3"/>
    <w:rsid w:val="003D47A7"/>
    <w:rsid w:val="003D660F"/>
    <w:rsid w:val="003E411C"/>
    <w:rsid w:val="003F7FDD"/>
    <w:rsid w:val="00402E00"/>
    <w:rsid w:val="00405632"/>
    <w:rsid w:val="0041653B"/>
    <w:rsid w:val="004231EC"/>
    <w:rsid w:val="00436331"/>
    <w:rsid w:val="004376AE"/>
    <w:rsid w:val="004421B4"/>
    <w:rsid w:val="004540FB"/>
    <w:rsid w:val="00466799"/>
    <w:rsid w:val="00480D54"/>
    <w:rsid w:val="004A3CA5"/>
    <w:rsid w:val="004A41E2"/>
    <w:rsid w:val="004A42B4"/>
    <w:rsid w:val="004B28B0"/>
    <w:rsid w:val="004B4DFC"/>
    <w:rsid w:val="004D1BD1"/>
    <w:rsid w:val="004D5299"/>
    <w:rsid w:val="004D58D0"/>
    <w:rsid w:val="004D647B"/>
    <w:rsid w:val="004E77C4"/>
    <w:rsid w:val="004F4649"/>
    <w:rsid w:val="00501254"/>
    <w:rsid w:val="00504F70"/>
    <w:rsid w:val="0050529E"/>
    <w:rsid w:val="0050571F"/>
    <w:rsid w:val="00507ADB"/>
    <w:rsid w:val="00512F97"/>
    <w:rsid w:val="00514428"/>
    <w:rsid w:val="005202A0"/>
    <w:rsid w:val="0052334C"/>
    <w:rsid w:val="00533E30"/>
    <w:rsid w:val="0054037C"/>
    <w:rsid w:val="00556998"/>
    <w:rsid w:val="005570D6"/>
    <w:rsid w:val="00571CD2"/>
    <w:rsid w:val="005749DA"/>
    <w:rsid w:val="00577476"/>
    <w:rsid w:val="00582780"/>
    <w:rsid w:val="00586A4C"/>
    <w:rsid w:val="00593D91"/>
    <w:rsid w:val="00594B6D"/>
    <w:rsid w:val="00594E0B"/>
    <w:rsid w:val="0059709B"/>
    <w:rsid w:val="005A7FEC"/>
    <w:rsid w:val="005B49EE"/>
    <w:rsid w:val="005C1071"/>
    <w:rsid w:val="005C27AE"/>
    <w:rsid w:val="005C5B68"/>
    <w:rsid w:val="005C76F9"/>
    <w:rsid w:val="005D57BA"/>
    <w:rsid w:val="005D64B8"/>
    <w:rsid w:val="005D6D8C"/>
    <w:rsid w:val="005E3251"/>
    <w:rsid w:val="005E3A76"/>
    <w:rsid w:val="005E57A5"/>
    <w:rsid w:val="005F5567"/>
    <w:rsid w:val="006158BF"/>
    <w:rsid w:val="00615A80"/>
    <w:rsid w:val="0062118F"/>
    <w:rsid w:val="00621CD7"/>
    <w:rsid w:val="006349A1"/>
    <w:rsid w:val="00643230"/>
    <w:rsid w:val="006438AE"/>
    <w:rsid w:val="006563DE"/>
    <w:rsid w:val="00657E1C"/>
    <w:rsid w:val="006607F7"/>
    <w:rsid w:val="006843D8"/>
    <w:rsid w:val="00686927"/>
    <w:rsid w:val="00687B31"/>
    <w:rsid w:val="00694594"/>
    <w:rsid w:val="00695A10"/>
    <w:rsid w:val="006A0650"/>
    <w:rsid w:val="006A138F"/>
    <w:rsid w:val="006A1B91"/>
    <w:rsid w:val="006A6C4B"/>
    <w:rsid w:val="006A7427"/>
    <w:rsid w:val="006B42D6"/>
    <w:rsid w:val="006D0986"/>
    <w:rsid w:val="006D2063"/>
    <w:rsid w:val="006D30A6"/>
    <w:rsid w:val="006E4A06"/>
    <w:rsid w:val="006F19E1"/>
    <w:rsid w:val="006F6330"/>
    <w:rsid w:val="00707ADF"/>
    <w:rsid w:val="00710AA5"/>
    <w:rsid w:val="00710E20"/>
    <w:rsid w:val="00710E5B"/>
    <w:rsid w:val="00715D02"/>
    <w:rsid w:val="00722E48"/>
    <w:rsid w:val="00733924"/>
    <w:rsid w:val="0074283E"/>
    <w:rsid w:val="00742F6D"/>
    <w:rsid w:val="007436B1"/>
    <w:rsid w:val="00750DF0"/>
    <w:rsid w:val="00760FAF"/>
    <w:rsid w:val="00763B45"/>
    <w:rsid w:val="007646EF"/>
    <w:rsid w:val="00766676"/>
    <w:rsid w:val="00771253"/>
    <w:rsid w:val="00772DE7"/>
    <w:rsid w:val="007811C6"/>
    <w:rsid w:val="007845A7"/>
    <w:rsid w:val="007A06A1"/>
    <w:rsid w:val="007A5ADB"/>
    <w:rsid w:val="007C02C0"/>
    <w:rsid w:val="007E2E97"/>
    <w:rsid w:val="007E30AA"/>
    <w:rsid w:val="007F4B75"/>
    <w:rsid w:val="008038ED"/>
    <w:rsid w:val="00810842"/>
    <w:rsid w:val="008218C9"/>
    <w:rsid w:val="0082465C"/>
    <w:rsid w:val="00827C66"/>
    <w:rsid w:val="00831302"/>
    <w:rsid w:val="0083265B"/>
    <w:rsid w:val="008348F7"/>
    <w:rsid w:val="00834F2A"/>
    <w:rsid w:val="008378B7"/>
    <w:rsid w:val="00844F81"/>
    <w:rsid w:val="00855FF3"/>
    <w:rsid w:val="00866D69"/>
    <w:rsid w:val="0087245E"/>
    <w:rsid w:val="008727AF"/>
    <w:rsid w:val="00873E66"/>
    <w:rsid w:val="00875EB0"/>
    <w:rsid w:val="0088255C"/>
    <w:rsid w:val="00893DBD"/>
    <w:rsid w:val="008B64C4"/>
    <w:rsid w:val="008D46D4"/>
    <w:rsid w:val="008D78A9"/>
    <w:rsid w:val="008E1104"/>
    <w:rsid w:val="008E3C8D"/>
    <w:rsid w:val="008E7BBD"/>
    <w:rsid w:val="008F6600"/>
    <w:rsid w:val="00901FF0"/>
    <w:rsid w:val="00903240"/>
    <w:rsid w:val="00910B6C"/>
    <w:rsid w:val="00916C41"/>
    <w:rsid w:val="00921444"/>
    <w:rsid w:val="00921B21"/>
    <w:rsid w:val="00921C63"/>
    <w:rsid w:val="00922516"/>
    <w:rsid w:val="00925EE4"/>
    <w:rsid w:val="00930778"/>
    <w:rsid w:val="00930F2E"/>
    <w:rsid w:val="00931F2A"/>
    <w:rsid w:val="00933EFD"/>
    <w:rsid w:val="009460A9"/>
    <w:rsid w:val="00950DC1"/>
    <w:rsid w:val="00952373"/>
    <w:rsid w:val="00967BE1"/>
    <w:rsid w:val="00985D2E"/>
    <w:rsid w:val="009A3EB4"/>
    <w:rsid w:val="009A4F8C"/>
    <w:rsid w:val="009B0ABD"/>
    <w:rsid w:val="009B506B"/>
    <w:rsid w:val="009B5FD9"/>
    <w:rsid w:val="009C6259"/>
    <w:rsid w:val="009C71C0"/>
    <w:rsid w:val="009D070C"/>
    <w:rsid w:val="009D1DA9"/>
    <w:rsid w:val="009D27A9"/>
    <w:rsid w:val="009D6355"/>
    <w:rsid w:val="009D6E69"/>
    <w:rsid w:val="009E42D8"/>
    <w:rsid w:val="009E617C"/>
    <w:rsid w:val="009E6F1E"/>
    <w:rsid w:val="009F189D"/>
    <w:rsid w:val="009F67C0"/>
    <w:rsid w:val="00A00BD0"/>
    <w:rsid w:val="00A016DE"/>
    <w:rsid w:val="00A01B15"/>
    <w:rsid w:val="00A040F0"/>
    <w:rsid w:val="00A04964"/>
    <w:rsid w:val="00A04A4A"/>
    <w:rsid w:val="00A101F3"/>
    <w:rsid w:val="00A12ADC"/>
    <w:rsid w:val="00A14176"/>
    <w:rsid w:val="00A15B5A"/>
    <w:rsid w:val="00A20CFB"/>
    <w:rsid w:val="00A2523E"/>
    <w:rsid w:val="00A27D16"/>
    <w:rsid w:val="00A333A6"/>
    <w:rsid w:val="00A333EB"/>
    <w:rsid w:val="00A3383C"/>
    <w:rsid w:val="00A433F9"/>
    <w:rsid w:val="00A43879"/>
    <w:rsid w:val="00A50633"/>
    <w:rsid w:val="00A50EB8"/>
    <w:rsid w:val="00A57136"/>
    <w:rsid w:val="00A61D8F"/>
    <w:rsid w:val="00A63000"/>
    <w:rsid w:val="00A71812"/>
    <w:rsid w:val="00A71FA3"/>
    <w:rsid w:val="00A81E52"/>
    <w:rsid w:val="00A84D1F"/>
    <w:rsid w:val="00A86921"/>
    <w:rsid w:val="00A86BBD"/>
    <w:rsid w:val="00A97FA6"/>
    <w:rsid w:val="00AA1BA1"/>
    <w:rsid w:val="00AA4F7C"/>
    <w:rsid w:val="00AB080E"/>
    <w:rsid w:val="00AB0CEC"/>
    <w:rsid w:val="00AB4163"/>
    <w:rsid w:val="00AB715A"/>
    <w:rsid w:val="00AC16CF"/>
    <w:rsid w:val="00AC52C4"/>
    <w:rsid w:val="00AD31BD"/>
    <w:rsid w:val="00AD4408"/>
    <w:rsid w:val="00AD724A"/>
    <w:rsid w:val="00AD7C0C"/>
    <w:rsid w:val="00AE2841"/>
    <w:rsid w:val="00AE5A52"/>
    <w:rsid w:val="00AF3FEE"/>
    <w:rsid w:val="00B009DA"/>
    <w:rsid w:val="00B04869"/>
    <w:rsid w:val="00B15152"/>
    <w:rsid w:val="00B155E2"/>
    <w:rsid w:val="00B25BA8"/>
    <w:rsid w:val="00B26AD1"/>
    <w:rsid w:val="00B27CAB"/>
    <w:rsid w:val="00B37C01"/>
    <w:rsid w:val="00B40C73"/>
    <w:rsid w:val="00B474D8"/>
    <w:rsid w:val="00B56359"/>
    <w:rsid w:val="00B5710C"/>
    <w:rsid w:val="00B62164"/>
    <w:rsid w:val="00B7333A"/>
    <w:rsid w:val="00B82F28"/>
    <w:rsid w:val="00B850E1"/>
    <w:rsid w:val="00B86710"/>
    <w:rsid w:val="00B9131E"/>
    <w:rsid w:val="00B92091"/>
    <w:rsid w:val="00B97464"/>
    <w:rsid w:val="00BA007B"/>
    <w:rsid w:val="00BA19CC"/>
    <w:rsid w:val="00BA7E2E"/>
    <w:rsid w:val="00BB0A9B"/>
    <w:rsid w:val="00BB3710"/>
    <w:rsid w:val="00BD677F"/>
    <w:rsid w:val="00BD6FF9"/>
    <w:rsid w:val="00BF097D"/>
    <w:rsid w:val="00BF1EBE"/>
    <w:rsid w:val="00BF22A2"/>
    <w:rsid w:val="00BF321D"/>
    <w:rsid w:val="00BF5DE7"/>
    <w:rsid w:val="00C0668E"/>
    <w:rsid w:val="00C07324"/>
    <w:rsid w:val="00C31CD0"/>
    <w:rsid w:val="00C37686"/>
    <w:rsid w:val="00C50A05"/>
    <w:rsid w:val="00C61F40"/>
    <w:rsid w:val="00C646F4"/>
    <w:rsid w:val="00C70978"/>
    <w:rsid w:val="00C730FE"/>
    <w:rsid w:val="00C877E1"/>
    <w:rsid w:val="00C9506B"/>
    <w:rsid w:val="00CA418E"/>
    <w:rsid w:val="00CA58AC"/>
    <w:rsid w:val="00CA72C6"/>
    <w:rsid w:val="00CC5F20"/>
    <w:rsid w:val="00CD7916"/>
    <w:rsid w:val="00CE2EC1"/>
    <w:rsid w:val="00D02C3B"/>
    <w:rsid w:val="00D03358"/>
    <w:rsid w:val="00D03525"/>
    <w:rsid w:val="00D11407"/>
    <w:rsid w:val="00D14C1C"/>
    <w:rsid w:val="00D21E76"/>
    <w:rsid w:val="00D21F17"/>
    <w:rsid w:val="00D348D3"/>
    <w:rsid w:val="00D37616"/>
    <w:rsid w:val="00D41F97"/>
    <w:rsid w:val="00D50274"/>
    <w:rsid w:val="00D53C2A"/>
    <w:rsid w:val="00D54454"/>
    <w:rsid w:val="00D56B82"/>
    <w:rsid w:val="00D638EB"/>
    <w:rsid w:val="00D71E06"/>
    <w:rsid w:val="00D75743"/>
    <w:rsid w:val="00D76C90"/>
    <w:rsid w:val="00D8249E"/>
    <w:rsid w:val="00D8290C"/>
    <w:rsid w:val="00D85F5C"/>
    <w:rsid w:val="00D90E16"/>
    <w:rsid w:val="00D918BD"/>
    <w:rsid w:val="00D9243D"/>
    <w:rsid w:val="00DA0403"/>
    <w:rsid w:val="00DB1080"/>
    <w:rsid w:val="00DB4835"/>
    <w:rsid w:val="00DC3812"/>
    <w:rsid w:val="00DF044F"/>
    <w:rsid w:val="00DF38A0"/>
    <w:rsid w:val="00DF525C"/>
    <w:rsid w:val="00E0789F"/>
    <w:rsid w:val="00E17C2D"/>
    <w:rsid w:val="00E20CBD"/>
    <w:rsid w:val="00E21E31"/>
    <w:rsid w:val="00E244C0"/>
    <w:rsid w:val="00E270C1"/>
    <w:rsid w:val="00E27EE6"/>
    <w:rsid w:val="00E33076"/>
    <w:rsid w:val="00E45FF0"/>
    <w:rsid w:val="00E477FA"/>
    <w:rsid w:val="00E60BC0"/>
    <w:rsid w:val="00E66C98"/>
    <w:rsid w:val="00E66D74"/>
    <w:rsid w:val="00E712F3"/>
    <w:rsid w:val="00E72354"/>
    <w:rsid w:val="00E7702A"/>
    <w:rsid w:val="00E81D04"/>
    <w:rsid w:val="00E821D6"/>
    <w:rsid w:val="00E853BB"/>
    <w:rsid w:val="00E87400"/>
    <w:rsid w:val="00E95DB4"/>
    <w:rsid w:val="00EA0205"/>
    <w:rsid w:val="00EC0554"/>
    <w:rsid w:val="00EC2108"/>
    <w:rsid w:val="00EC279C"/>
    <w:rsid w:val="00EC72D0"/>
    <w:rsid w:val="00EC7B1D"/>
    <w:rsid w:val="00ED0DC5"/>
    <w:rsid w:val="00EE323B"/>
    <w:rsid w:val="00EF5A71"/>
    <w:rsid w:val="00F03F5C"/>
    <w:rsid w:val="00F04F08"/>
    <w:rsid w:val="00F06DD1"/>
    <w:rsid w:val="00F104BF"/>
    <w:rsid w:val="00F11A91"/>
    <w:rsid w:val="00F11E42"/>
    <w:rsid w:val="00F16426"/>
    <w:rsid w:val="00F24674"/>
    <w:rsid w:val="00F2503E"/>
    <w:rsid w:val="00F27127"/>
    <w:rsid w:val="00F27379"/>
    <w:rsid w:val="00F325A8"/>
    <w:rsid w:val="00F327CF"/>
    <w:rsid w:val="00F33326"/>
    <w:rsid w:val="00F33F57"/>
    <w:rsid w:val="00F37373"/>
    <w:rsid w:val="00F4003F"/>
    <w:rsid w:val="00F42834"/>
    <w:rsid w:val="00F45786"/>
    <w:rsid w:val="00F51035"/>
    <w:rsid w:val="00F565EA"/>
    <w:rsid w:val="00F651F7"/>
    <w:rsid w:val="00F67A3B"/>
    <w:rsid w:val="00F765F7"/>
    <w:rsid w:val="00F770B6"/>
    <w:rsid w:val="00F84505"/>
    <w:rsid w:val="00F86025"/>
    <w:rsid w:val="00F933B5"/>
    <w:rsid w:val="00FA0AE4"/>
    <w:rsid w:val="00FA17E9"/>
    <w:rsid w:val="00FB0093"/>
    <w:rsid w:val="00FB1AFC"/>
    <w:rsid w:val="00FB4A4E"/>
    <w:rsid w:val="00FB4CBB"/>
    <w:rsid w:val="00FC2920"/>
    <w:rsid w:val="00FC44FA"/>
    <w:rsid w:val="00FD19B9"/>
    <w:rsid w:val="00FD73B1"/>
    <w:rsid w:val="00FE7E98"/>
    <w:rsid w:val="00FF420B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uiPriority w:val="99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link w:val="a7"/>
    <w:rsid w:val="00D21F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1F17"/>
  </w:style>
  <w:style w:type="table" w:styleId="a9">
    <w:name w:val="Table Grid"/>
    <w:basedOn w:val="a1"/>
    <w:uiPriority w:val="59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1E2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E2E0A"/>
    <w:rPr>
      <w:sz w:val="24"/>
      <w:szCs w:val="24"/>
    </w:rPr>
  </w:style>
  <w:style w:type="paragraph" w:styleId="ac">
    <w:name w:val="Balloon Text"/>
    <w:basedOn w:val="a"/>
    <w:link w:val="ad"/>
    <w:rsid w:val="00237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37C7C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0B42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4220"/>
    <w:rPr>
      <w:sz w:val="16"/>
      <w:szCs w:val="16"/>
    </w:rPr>
  </w:style>
  <w:style w:type="paragraph" w:styleId="ae">
    <w:name w:val="Body Text Indent"/>
    <w:basedOn w:val="a"/>
    <w:link w:val="af"/>
    <w:rsid w:val="008E7BB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CC5F20"/>
    <w:rPr>
      <w:rFonts w:ascii="Arial" w:hAnsi="Arial" w:cs="Arial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9E617C"/>
    <w:rPr>
      <w:b/>
      <w:bCs/>
    </w:rPr>
  </w:style>
  <w:style w:type="character" w:customStyle="1" w:styleId="apple-converted-space">
    <w:name w:val="apple-converted-space"/>
    <w:basedOn w:val="a0"/>
    <w:rsid w:val="00657E1C"/>
  </w:style>
  <w:style w:type="character" w:styleId="af1">
    <w:name w:val="Emphasis"/>
    <w:basedOn w:val="a0"/>
    <w:uiPriority w:val="20"/>
    <w:qFormat/>
    <w:rsid w:val="00657E1C"/>
    <w:rPr>
      <w:i/>
      <w:iCs/>
    </w:rPr>
  </w:style>
  <w:style w:type="character" w:customStyle="1" w:styleId="a7">
    <w:name w:val="Верхний колонтитул Знак"/>
    <w:basedOn w:val="a0"/>
    <w:link w:val="a6"/>
    <w:rsid w:val="00D37616"/>
    <w:rPr>
      <w:sz w:val="24"/>
      <w:szCs w:val="24"/>
    </w:rPr>
  </w:style>
  <w:style w:type="paragraph" w:styleId="af2">
    <w:name w:val="No Spacing"/>
    <w:uiPriority w:val="1"/>
    <w:qFormat/>
    <w:rsid w:val="006B42D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1F17"/>
  </w:style>
  <w:style w:type="table" w:styleId="a9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1E2E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E2E0A"/>
    <w:rPr>
      <w:sz w:val="24"/>
      <w:szCs w:val="24"/>
    </w:rPr>
  </w:style>
  <w:style w:type="paragraph" w:styleId="ac">
    <w:name w:val="Balloon Text"/>
    <w:basedOn w:val="a"/>
    <w:link w:val="ad"/>
    <w:rsid w:val="00237C7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37C7C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0B422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4220"/>
    <w:rPr>
      <w:sz w:val="16"/>
      <w:szCs w:val="16"/>
    </w:rPr>
  </w:style>
  <w:style w:type="paragraph" w:styleId="ae">
    <w:name w:val="Body Text Indent"/>
    <w:basedOn w:val="a"/>
    <w:link w:val="af"/>
    <w:rsid w:val="008E7BB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F318A-92C5-46F8-9DC9-9D0D5ADE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cp:lastModifiedBy>Каркунов Сергей Николаевич</cp:lastModifiedBy>
  <cp:revision>122</cp:revision>
  <cp:lastPrinted>2015-07-01T15:07:00Z</cp:lastPrinted>
  <dcterms:created xsi:type="dcterms:W3CDTF">2015-11-10T09:14:00Z</dcterms:created>
  <dcterms:modified xsi:type="dcterms:W3CDTF">2019-06-04T06:00:00Z</dcterms:modified>
  <dc:description>exif_MSED_a958d47e654d6952917056ef32ed5bfe7447e12df199bb5ca45807eb057bf795</dc:description>
</cp:coreProperties>
</file>